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7F154" w14:textId="7846EB31" w:rsidR="00DE6A71" w:rsidRDefault="005E55AE" w:rsidP="003F533A">
      <w:pPr>
        <w:spacing w:line="276" w:lineRule="auto"/>
        <w:jc w:val="both"/>
        <w:rPr>
          <w:b/>
          <w:lang w:val="en-US"/>
        </w:rPr>
      </w:pPr>
      <w:r w:rsidRPr="005E55AE">
        <w:rPr>
          <w:noProof/>
          <w:sz w:val="24"/>
        </w:rPr>
        <w:drawing>
          <wp:anchor distT="0" distB="0" distL="114300" distR="114300" simplePos="0" relativeHeight="251659264" behindDoc="1" locked="0" layoutInCell="1" allowOverlap="1" wp14:anchorId="30AA7669" wp14:editId="29EFACF3">
            <wp:simplePos x="0" y="0"/>
            <wp:positionH relativeFrom="page">
              <wp:align>left</wp:align>
            </wp:positionH>
            <wp:positionV relativeFrom="page">
              <wp:align>top</wp:align>
            </wp:positionV>
            <wp:extent cx="7532914" cy="10080702"/>
            <wp:effectExtent l="0" t="0" r="0" b="0"/>
            <wp:wrapNone/>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32914" cy="1008070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D1EC32" w14:textId="397EF81E" w:rsidR="00DE6A71" w:rsidRDefault="00DE6A71" w:rsidP="003F533A">
      <w:pPr>
        <w:spacing w:line="276" w:lineRule="auto"/>
        <w:jc w:val="both"/>
        <w:rPr>
          <w:b/>
          <w:lang w:val="en-US"/>
        </w:rPr>
      </w:pPr>
    </w:p>
    <w:p w14:paraId="125F1B59" w14:textId="3FD78965" w:rsidR="00DE6A71" w:rsidRDefault="00DE6A71" w:rsidP="003F533A">
      <w:pPr>
        <w:spacing w:line="276" w:lineRule="auto"/>
        <w:jc w:val="both"/>
        <w:rPr>
          <w:b/>
          <w:lang w:val="en-US"/>
        </w:rPr>
      </w:pPr>
    </w:p>
    <w:p w14:paraId="65A8EF6F" w14:textId="6F86FCB4" w:rsidR="00DE6A71" w:rsidRDefault="00DE6A71" w:rsidP="003F533A">
      <w:pPr>
        <w:spacing w:line="276" w:lineRule="auto"/>
        <w:jc w:val="both"/>
        <w:rPr>
          <w:b/>
          <w:lang w:val="en-US"/>
        </w:rPr>
      </w:pPr>
    </w:p>
    <w:p w14:paraId="1CF667D1" w14:textId="103FC7FD" w:rsidR="00DE6A71" w:rsidRDefault="00DE6A71" w:rsidP="003F533A">
      <w:pPr>
        <w:spacing w:line="276" w:lineRule="auto"/>
        <w:jc w:val="both"/>
        <w:rPr>
          <w:b/>
          <w:lang w:val="en-US"/>
        </w:rPr>
      </w:pPr>
    </w:p>
    <w:p w14:paraId="33F98562" w14:textId="2EAD2497" w:rsidR="00DE6A71" w:rsidRDefault="00DE6A71" w:rsidP="003F533A">
      <w:pPr>
        <w:spacing w:line="276" w:lineRule="auto"/>
        <w:jc w:val="both"/>
        <w:rPr>
          <w:b/>
          <w:lang w:val="en-US"/>
        </w:rPr>
      </w:pPr>
    </w:p>
    <w:p w14:paraId="067ECCE2" w14:textId="076270D0" w:rsidR="00DE6A71" w:rsidRDefault="00DE6A71" w:rsidP="003F533A">
      <w:pPr>
        <w:spacing w:line="276" w:lineRule="auto"/>
        <w:jc w:val="both"/>
        <w:rPr>
          <w:b/>
          <w:lang w:val="en-US"/>
        </w:rPr>
      </w:pPr>
    </w:p>
    <w:p w14:paraId="4986AA21" w14:textId="43617392" w:rsidR="00DE6A71" w:rsidRDefault="005D78DE" w:rsidP="003F533A">
      <w:pPr>
        <w:spacing w:line="276" w:lineRule="auto"/>
        <w:jc w:val="both"/>
        <w:rPr>
          <w:b/>
          <w:lang w:val="en-US"/>
        </w:rPr>
      </w:pPr>
      <w:r w:rsidRPr="005E55AE">
        <w:rPr>
          <w:noProof/>
          <w:sz w:val="24"/>
        </w:rPr>
        <w:drawing>
          <wp:anchor distT="0" distB="0" distL="114300" distR="114300" simplePos="0" relativeHeight="251662336" behindDoc="0" locked="0" layoutInCell="1" allowOverlap="1" wp14:anchorId="4D2F1196" wp14:editId="0C9B8328">
            <wp:simplePos x="0" y="0"/>
            <wp:positionH relativeFrom="margin">
              <wp:align>center</wp:align>
            </wp:positionH>
            <wp:positionV relativeFrom="page">
              <wp:posOffset>2620010</wp:posOffset>
            </wp:positionV>
            <wp:extent cx="3642056" cy="657769"/>
            <wp:effectExtent l="57150" t="57150" r="53975" b="47625"/>
            <wp:wrapNone/>
            <wp:docPr id="20" name="Εικόνα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461" t="6375" r="512" b="2946"/>
                    <a:stretch/>
                  </pic:blipFill>
                  <pic:spPr bwMode="auto">
                    <a:xfrm>
                      <a:off x="0" y="0"/>
                      <a:ext cx="3642056" cy="657769"/>
                    </a:xfrm>
                    <a:prstGeom prst="roundRect">
                      <a:avLst>
                        <a:gd name="adj" fmla="val 16667"/>
                      </a:avLst>
                    </a:prstGeom>
                    <a:ln>
                      <a:noFill/>
                    </a:ln>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37E131C" w14:textId="4BA37DFA" w:rsidR="00612BA3" w:rsidRPr="001A4D68" w:rsidRDefault="00612BA3" w:rsidP="005E55AE">
      <w:pPr>
        <w:spacing w:line="276" w:lineRule="auto"/>
        <w:rPr>
          <w:b/>
          <w:sz w:val="48"/>
          <w:szCs w:val="48"/>
          <w:lang w:val="en-US"/>
        </w:rPr>
      </w:pPr>
    </w:p>
    <w:p w14:paraId="66AFD629" w14:textId="073E2605" w:rsidR="00C87F71" w:rsidRPr="001A4D68" w:rsidRDefault="005D78DE" w:rsidP="003F533A">
      <w:pPr>
        <w:spacing w:line="276" w:lineRule="auto"/>
        <w:jc w:val="center"/>
        <w:rPr>
          <w:b/>
          <w:sz w:val="48"/>
          <w:szCs w:val="48"/>
          <w:lang w:val="en-US"/>
        </w:rPr>
      </w:pPr>
      <w:r w:rsidRPr="005E55AE">
        <w:rPr>
          <w:noProof/>
          <w:sz w:val="24"/>
        </w:rPr>
        <w:drawing>
          <wp:anchor distT="0" distB="0" distL="114300" distR="114300" simplePos="0" relativeHeight="251664384" behindDoc="0" locked="0" layoutInCell="1" allowOverlap="1" wp14:anchorId="22A070B5" wp14:editId="7645493B">
            <wp:simplePos x="0" y="0"/>
            <wp:positionH relativeFrom="margin">
              <wp:align>center</wp:align>
            </wp:positionH>
            <wp:positionV relativeFrom="page">
              <wp:posOffset>3577590</wp:posOffset>
            </wp:positionV>
            <wp:extent cx="6256020" cy="293813"/>
            <wp:effectExtent l="38100" t="57150" r="30480" b="49530"/>
            <wp:wrapNone/>
            <wp:docPr id="21" name="Εικόνα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746" t="5798" r="422" b="15973"/>
                    <a:stretch/>
                  </pic:blipFill>
                  <pic:spPr bwMode="auto">
                    <a:xfrm>
                      <a:off x="0" y="0"/>
                      <a:ext cx="6256020" cy="293813"/>
                    </a:xfrm>
                    <a:prstGeom prst="roundRect">
                      <a:avLst>
                        <a:gd name="adj" fmla="val 16667"/>
                      </a:avLst>
                    </a:prstGeom>
                    <a:ln>
                      <a:noFill/>
                    </a:ln>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2BB5152" w14:textId="6B567F72" w:rsidR="00C87F71" w:rsidRDefault="00C87F71" w:rsidP="003F533A">
      <w:pPr>
        <w:spacing w:line="276" w:lineRule="auto"/>
        <w:jc w:val="both"/>
        <w:rPr>
          <w:b/>
          <w:lang w:val="en-US"/>
        </w:rPr>
      </w:pPr>
    </w:p>
    <w:p w14:paraId="472BB499" w14:textId="2CB718C6" w:rsidR="00C87F71" w:rsidRDefault="00C87F71" w:rsidP="003F533A">
      <w:pPr>
        <w:spacing w:line="276" w:lineRule="auto"/>
        <w:jc w:val="both"/>
        <w:rPr>
          <w:b/>
          <w:lang w:val="en-US"/>
        </w:rPr>
      </w:pPr>
    </w:p>
    <w:p w14:paraId="72BC1B15" w14:textId="52AC3E7A" w:rsidR="00C87F71" w:rsidRDefault="00C87F71" w:rsidP="003F533A">
      <w:pPr>
        <w:spacing w:line="276" w:lineRule="auto"/>
        <w:jc w:val="both"/>
        <w:rPr>
          <w:b/>
          <w:lang w:val="en-US"/>
        </w:rPr>
      </w:pPr>
    </w:p>
    <w:p w14:paraId="3567FC1A" w14:textId="34DE5758" w:rsidR="00C87F71" w:rsidRDefault="00652EAB" w:rsidP="003F533A">
      <w:pPr>
        <w:spacing w:line="276" w:lineRule="auto"/>
        <w:jc w:val="both"/>
        <w:rPr>
          <w:b/>
          <w:lang w:val="en-US"/>
        </w:rPr>
      </w:pPr>
      <w:r w:rsidRPr="005E55AE">
        <w:rPr>
          <w:b/>
          <w:noProof/>
          <w:sz w:val="24"/>
        </w:rPr>
        <mc:AlternateContent>
          <mc:Choice Requires="wps">
            <w:drawing>
              <wp:anchor distT="0" distB="0" distL="114300" distR="114300" simplePos="0" relativeHeight="251660288" behindDoc="0" locked="0" layoutInCell="1" allowOverlap="1" wp14:anchorId="4B5F7F74" wp14:editId="25E9F1DD">
                <wp:simplePos x="0" y="0"/>
                <wp:positionH relativeFrom="margin">
                  <wp:align>center</wp:align>
                </wp:positionH>
                <wp:positionV relativeFrom="margin">
                  <wp:posOffset>4674140</wp:posOffset>
                </wp:positionV>
                <wp:extent cx="6192520" cy="1268730"/>
                <wp:effectExtent l="0" t="0" r="0" b="7620"/>
                <wp:wrapSquare wrapText="bothSides"/>
                <wp:docPr id="22" name="Ορθογώνιο: Στρογγύλεμα γωνιών 22"/>
                <wp:cNvGraphicFramePr/>
                <a:graphic xmlns:a="http://schemas.openxmlformats.org/drawingml/2006/main">
                  <a:graphicData uri="http://schemas.microsoft.com/office/word/2010/wordprocessingShape">
                    <wps:wsp>
                      <wps:cNvSpPr/>
                      <wps:spPr>
                        <a:xfrm>
                          <a:off x="0" y="0"/>
                          <a:ext cx="6192520" cy="1269242"/>
                        </a:xfrm>
                        <a:prstGeom prst="roundRect">
                          <a:avLst>
                            <a:gd name="adj" fmla="val 20614"/>
                          </a:avLst>
                        </a:prstGeom>
                        <a:solidFill>
                          <a:sysClr val="window" lastClr="FFFFFF"/>
                        </a:solidFill>
                        <a:ln w="12700" cap="flat" cmpd="sng" algn="ctr">
                          <a:noFill/>
                          <a:prstDash val="solid"/>
                          <a:miter lim="800000"/>
                        </a:ln>
                        <a:effectLst/>
                      </wps:spPr>
                      <wps:txbx>
                        <w:txbxContent>
                          <w:p w14:paraId="38AB659B" w14:textId="4A2A761D" w:rsidR="00652EAB" w:rsidRPr="00652EAB" w:rsidRDefault="00652EAB" w:rsidP="00652EAB">
                            <w:pPr>
                              <w:spacing w:line="240" w:lineRule="auto"/>
                              <w:jc w:val="center"/>
                              <w:rPr>
                                <w:b/>
                                <w:bCs/>
                                <w:sz w:val="40"/>
                                <w:szCs w:val="40"/>
                                <w:lang w:val="en-GB"/>
                              </w:rPr>
                            </w:pPr>
                            <w:r w:rsidRPr="00652EAB">
                              <w:rPr>
                                <w:rStyle w:val="ui-provider"/>
                                <w:b/>
                                <w:bCs/>
                                <w:sz w:val="40"/>
                                <w:szCs w:val="40"/>
                                <w:lang w:val="en-GB"/>
                              </w:rPr>
                              <w:t>Health and Well-being Promotion</w:t>
                            </w:r>
                            <w:r>
                              <w:rPr>
                                <w:rStyle w:val="ui-provider"/>
                                <w:b/>
                                <w:bCs/>
                                <w:sz w:val="40"/>
                                <w:szCs w:val="40"/>
                                <w:lang w:val="en-GB"/>
                              </w:rPr>
                              <w:t xml:space="preserve">                                     </w:t>
                            </w:r>
                            <w:r w:rsidRPr="00652EAB">
                              <w:rPr>
                                <w:rStyle w:val="ui-provider"/>
                                <w:b/>
                                <w:bCs/>
                                <w:sz w:val="40"/>
                                <w:szCs w:val="40"/>
                                <w:lang w:val="en-GB"/>
                              </w:rPr>
                              <w:t xml:space="preserve"> through Creative </w:t>
                            </w:r>
                            <w:r w:rsidRPr="00652EAB">
                              <w:rPr>
                                <w:b/>
                                <w:bCs/>
                                <w:sz w:val="40"/>
                                <w:szCs w:val="40"/>
                                <w:lang w:val="en-GB"/>
                              </w:rPr>
                              <w:t>Methods</w:t>
                            </w:r>
                          </w:p>
                          <w:p w14:paraId="7589A1ED" w14:textId="1BEB9B24" w:rsidR="005E55AE" w:rsidRPr="00652EAB" w:rsidRDefault="005E55AE" w:rsidP="00652EAB">
                            <w:pPr>
                              <w:spacing w:line="240" w:lineRule="auto"/>
                              <w:jc w:val="center"/>
                              <w:rPr>
                                <w:b/>
                                <w:bCs/>
                                <w:sz w:val="40"/>
                                <w:szCs w:val="40"/>
                              </w:rPr>
                            </w:pPr>
                            <w:r w:rsidRPr="00652EAB">
                              <w:rPr>
                                <w:b/>
                                <w:bCs/>
                                <w:sz w:val="40"/>
                                <w:szCs w:val="40"/>
                              </w:rPr>
                              <w:t>Syllabus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5F7F74" id="Ορθογώνιο: Στρογγύλεμα γωνιών 22" o:spid="_x0000_s1026" style="position:absolute;left:0;text-align:left;margin-left:0;margin-top:368.05pt;width:487.6pt;height:99.9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arcsize="135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" fillcolor="window" stroked="f" strokeweight="1pt">
                <v:stroke joinstyle="miter"/>
                <v:textbox>
                  <w:txbxContent>
                    <w:p w14:paraId="38AB659B" w14:textId="4A2A761D" w:rsidR="00652EAB" w:rsidRPr="00652EAB" w:rsidRDefault="00652EAB" w:rsidP="00652EAB">
                      <w:pPr>
                        <w:spacing w:line="240" w:lineRule="auto"/>
                        <w:jc w:val="center"/>
                        <w:rPr>
                          <w:b/>
                          <w:bCs/>
                          <w:sz w:val="40"/>
                          <w:szCs w:val="40"/>
                          <w:lang w:val="en-GB"/>
                        </w:rPr>
                      </w:pPr>
                      <w:r w:rsidRPr="00652EAB">
                        <w:rPr>
                          <w:rStyle w:val="ui-provider"/>
                          <w:b/>
                          <w:bCs/>
                          <w:sz w:val="40"/>
                          <w:szCs w:val="40"/>
                          <w:lang w:val="en-GB"/>
                        </w:rPr>
                        <w:t>Health and Well-being Promotion</w:t>
                      </w:r>
                      <w:r>
                        <w:rPr>
                          <w:rStyle w:val="ui-provider"/>
                          <w:b/>
                          <w:bCs/>
                          <w:sz w:val="40"/>
                          <w:szCs w:val="40"/>
                          <w:lang w:val="en-GB"/>
                        </w:rPr>
                        <w:t xml:space="preserve">                                     </w:t>
                      </w:r>
                      <w:r w:rsidRPr="00652EAB">
                        <w:rPr>
                          <w:rStyle w:val="ui-provider"/>
                          <w:b/>
                          <w:bCs/>
                          <w:sz w:val="40"/>
                          <w:szCs w:val="40"/>
                          <w:lang w:val="en-GB"/>
                        </w:rPr>
                        <w:t xml:space="preserve"> through Creative </w:t>
                      </w:r>
                      <w:r w:rsidRPr="00652EAB">
                        <w:rPr>
                          <w:b/>
                          <w:bCs/>
                          <w:sz w:val="40"/>
                          <w:szCs w:val="40"/>
                          <w:lang w:val="en-GB"/>
                        </w:rPr>
                        <w:t>Methods</w:t>
                      </w:r>
                    </w:p>
                    <w:p w14:paraId="7589A1ED" w14:textId="1BEB9B24" w:rsidR="005E55AE" w:rsidRPr="00652EAB" w:rsidRDefault="005E55AE" w:rsidP="00652EAB">
                      <w:pPr>
                        <w:spacing w:line="240" w:lineRule="auto"/>
                        <w:jc w:val="center"/>
                        <w:rPr>
                          <w:b/>
                          <w:bCs/>
                          <w:sz w:val="40"/>
                          <w:szCs w:val="40"/>
                        </w:rPr>
                      </w:pPr>
                      <w:proofErr w:type="spellStart"/>
                      <w:r w:rsidRPr="00652EAB">
                        <w:rPr>
                          <w:b/>
                          <w:bCs/>
                          <w:sz w:val="40"/>
                          <w:szCs w:val="40"/>
                        </w:rPr>
                        <w:t>Syllabus</w:t>
                      </w:r>
                      <w:proofErr w:type="spellEnd"/>
                    </w:p>
                  </w:txbxContent>
                </v:textbox>
                <w10:wrap type="square" anchorx="margin" anchory="margin"/>
              </v:roundrect>
            </w:pict>
          </mc:Fallback>
        </mc:AlternateContent>
      </w:r>
    </w:p>
    <w:p w14:paraId="713F3481" w14:textId="782B6C15" w:rsidR="00C87F71" w:rsidRDefault="00C87F71" w:rsidP="003F533A">
      <w:pPr>
        <w:spacing w:line="276" w:lineRule="auto"/>
        <w:jc w:val="both"/>
        <w:rPr>
          <w:b/>
          <w:lang w:val="en-US"/>
        </w:rPr>
      </w:pPr>
    </w:p>
    <w:p w14:paraId="20CE2882" w14:textId="1E2E4DE4" w:rsidR="00C87F71" w:rsidRDefault="00C87F71" w:rsidP="003F533A">
      <w:pPr>
        <w:spacing w:line="276" w:lineRule="auto"/>
        <w:jc w:val="both"/>
        <w:rPr>
          <w:b/>
          <w:lang w:val="en-US"/>
        </w:rPr>
      </w:pPr>
    </w:p>
    <w:p w14:paraId="1FF4CF95" w14:textId="2919AC7C" w:rsidR="00C87F71" w:rsidRDefault="00C87F71" w:rsidP="003F533A">
      <w:pPr>
        <w:spacing w:line="276" w:lineRule="auto"/>
        <w:jc w:val="both"/>
        <w:rPr>
          <w:b/>
          <w:lang w:val="en-US"/>
        </w:rPr>
      </w:pPr>
    </w:p>
    <w:p w14:paraId="0DCC3E21" w14:textId="3BA27120" w:rsidR="00C87F71" w:rsidRDefault="00C87F71" w:rsidP="003F533A">
      <w:pPr>
        <w:spacing w:line="276" w:lineRule="auto"/>
        <w:jc w:val="both"/>
        <w:rPr>
          <w:b/>
          <w:lang w:val="en-US"/>
        </w:rPr>
      </w:pPr>
    </w:p>
    <w:p w14:paraId="6F7837E6" w14:textId="4DD107BD" w:rsidR="00C87F71" w:rsidRDefault="00C87F71" w:rsidP="003F533A">
      <w:pPr>
        <w:spacing w:line="276" w:lineRule="auto"/>
        <w:jc w:val="both"/>
        <w:rPr>
          <w:b/>
          <w:lang w:val="en-US"/>
        </w:rPr>
      </w:pPr>
    </w:p>
    <w:p w14:paraId="7205706E" w14:textId="22B9CF23" w:rsidR="00C87F71" w:rsidRDefault="00C87F71" w:rsidP="003F533A">
      <w:pPr>
        <w:spacing w:line="276" w:lineRule="auto"/>
        <w:jc w:val="both"/>
        <w:rPr>
          <w:b/>
          <w:lang w:val="en-US"/>
        </w:rPr>
      </w:pPr>
    </w:p>
    <w:p w14:paraId="54F4CD78" w14:textId="77777777" w:rsidR="005E55AE" w:rsidRDefault="005E55AE" w:rsidP="003F533A">
      <w:pPr>
        <w:spacing w:line="276" w:lineRule="auto"/>
        <w:jc w:val="both"/>
        <w:rPr>
          <w:b/>
          <w:lang w:val="en-US"/>
        </w:rPr>
      </w:pPr>
    </w:p>
    <w:p w14:paraId="700C0EA8" w14:textId="77777777" w:rsidR="00C87F71" w:rsidRDefault="00C87F71" w:rsidP="003F533A">
      <w:pPr>
        <w:spacing w:line="276" w:lineRule="auto"/>
        <w:jc w:val="both"/>
        <w:rPr>
          <w:b/>
          <w:lang w:val="en-US"/>
        </w:rPr>
      </w:pPr>
    </w:p>
    <w:p w14:paraId="2708E907" w14:textId="77777777" w:rsidR="005E55AE" w:rsidRDefault="005E55AE" w:rsidP="003F533A">
      <w:pPr>
        <w:spacing w:line="276" w:lineRule="auto"/>
        <w:jc w:val="both"/>
        <w:rPr>
          <w:b/>
          <w:lang w:val="en-US"/>
        </w:rPr>
      </w:pPr>
    </w:p>
    <w:p w14:paraId="1055C005" w14:textId="77777777" w:rsidR="005E55AE" w:rsidRDefault="005E55AE" w:rsidP="003F533A">
      <w:pPr>
        <w:spacing w:line="276" w:lineRule="auto"/>
        <w:jc w:val="both"/>
        <w:rPr>
          <w:b/>
          <w:lang w:val="en-US"/>
        </w:rPr>
      </w:pPr>
    </w:p>
    <w:p w14:paraId="4ED324EB" w14:textId="77777777" w:rsidR="005E55AE" w:rsidRDefault="005E55AE" w:rsidP="003F533A">
      <w:pPr>
        <w:spacing w:line="276" w:lineRule="auto"/>
        <w:jc w:val="both"/>
        <w:rPr>
          <w:b/>
          <w:lang w:val="en-US"/>
        </w:rPr>
      </w:pPr>
    </w:p>
    <w:p w14:paraId="653B9697" w14:textId="77777777" w:rsidR="005D78DE" w:rsidRDefault="005D78DE" w:rsidP="003F533A">
      <w:pPr>
        <w:spacing w:line="276" w:lineRule="auto"/>
        <w:jc w:val="both"/>
        <w:rPr>
          <w:b/>
          <w:lang w:val="en-US"/>
        </w:rPr>
      </w:pPr>
    </w:p>
    <w:p w14:paraId="22ACE84C" w14:textId="77777777" w:rsidR="005D78DE" w:rsidRDefault="005D78DE" w:rsidP="003F533A">
      <w:pPr>
        <w:spacing w:line="276" w:lineRule="auto"/>
        <w:jc w:val="both"/>
        <w:rPr>
          <w:b/>
          <w:lang w:val="en-US"/>
        </w:rPr>
      </w:pPr>
    </w:p>
    <w:p w14:paraId="038EAF44" w14:textId="77777777" w:rsidR="005D78DE" w:rsidRDefault="005D78DE" w:rsidP="003F533A">
      <w:pPr>
        <w:spacing w:line="276" w:lineRule="auto"/>
        <w:jc w:val="both"/>
        <w:rPr>
          <w:b/>
          <w:lang w:val="en-US"/>
        </w:rPr>
      </w:pPr>
    </w:p>
    <w:p w14:paraId="2A86082C" w14:textId="77777777" w:rsidR="005D78DE" w:rsidRDefault="005D78DE" w:rsidP="005D78DE">
      <w:pPr>
        <w:spacing w:line="276" w:lineRule="auto"/>
        <w:jc w:val="both"/>
        <w:rPr>
          <w:b/>
          <w:lang w:val="en-US"/>
        </w:rPr>
      </w:pPr>
    </w:p>
    <w:tbl>
      <w:tblPr>
        <w:tblStyle w:val="TableGridLight"/>
        <w:tblW w:w="0" w:type="auto"/>
        <w:tblLook w:val="04A0" w:firstRow="1" w:lastRow="0" w:firstColumn="1" w:lastColumn="0" w:noHBand="0" w:noVBand="1"/>
      </w:tblPr>
      <w:tblGrid>
        <w:gridCol w:w="2689"/>
        <w:gridCol w:w="7767"/>
      </w:tblGrid>
      <w:tr w:rsidR="005D78DE" w:rsidRPr="00EB580B" w14:paraId="25744F54" w14:textId="77777777" w:rsidTr="005D78DE">
        <w:tc>
          <w:tcPr>
            <w:tcW w:w="2689" w:type="dxa"/>
          </w:tcPr>
          <w:p w14:paraId="09B98543" w14:textId="77777777" w:rsidR="005D78DE" w:rsidRDefault="005D78DE" w:rsidP="005D78DE">
            <w:pPr>
              <w:pStyle w:val="NoSpacing"/>
              <w:rPr>
                <w:lang w:val="en-US"/>
              </w:rPr>
            </w:pPr>
          </w:p>
        </w:tc>
        <w:tc>
          <w:tcPr>
            <w:tcW w:w="7767" w:type="dxa"/>
            <w:vAlign w:val="center"/>
          </w:tcPr>
          <w:p w14:paraId="2D3A023B" w14:textId="113E3AE0" w:rsidR="005D78DE" w:rsidRPr="005D78DE" w:rsidRDefault="005D78DE" w:rsidP="005D78DE">
            <w:pPr>
              <w:pStyle w:val="NoSpacing"/>
              <w:rPr>
                <w:lang w:val="en-US"/>
              </w:rPr>
            </w:pPr>
            <w:r w:rsidRPr="005D78DE">
              <w:rPr>
                <w:rFonts w:cs="Calibri"/>
                <w:lang w:val="en-GB" w:bidi="en-US"/>
              </w:rPr>
              <w:t>Health and Well-being Promotion through Creative Methods</w:t>
            </w:r>
          </w:p>
        </w:tc>
      </w:tr>
      <w:tr w:rsidR="005D78DE" w14:paraId="69C32855" w14:textId="77777777" w:rsidTr="005D78DE">
        <w:tc>
          <w:tcPr>
            <w:tcW w:w="2689" w:type="dxa"/>
          </w:tcPr>
          <w:p w14:paraId="7A13FE56" w14:textId="467DC964" w:rsidR="005D78DE" w:rsidRDefault="006316DE" w:rsidP="005D78DE">
            <w:pPr>
              <w:pStyle w:val="NoSpacing"/>
              <w:rPr>
                <w:lang w:val="en-US"/>
              </w:rPr>
            </w:pPr>
            <w:r>
              <w:rPr>
                <w:rFonts w:cs="Calibri"/>
                <w:bCs/>
                <w:iCs/>
                <w:lang w:val="en-US" w:bidi="en-US"/>
              </w:rPr>
              <w:t>Level</w:t>
            </w:r>
            <w:r w:rsidR="005D78DE" w:rsidRPr="00C87F71">
              <w:rPr>
                <w:rFonts w:cs="Calibri"/>
                <w:bCs/>
                <w:iCs/>
                <w:lang w:val="en-GB" w:bidi="en-US"/>
              </w:rPr>
              <w:t xml:space="preserve"> of </w:t>
            </w:r>
            <w:r>
              <w:rPr>
                <w:rFonts w:cs="Calibri"/>
                <w:bCs/>
                <w:iCs/>
                <w:lang w:val="en-GB" w:bidi="en-US"/>
              </w:rPr>
              <w:t>studies</w:t>
            </w:r>
          </w:p>
        </w:tc>
        <w:tc>
          <w:tcPr>
            <w:tcW w:w="7767" w:type="dxa"/>
            <w:vAlign w:val="center"/>
          </w:tcPr>
          <w:p w14:paraId="6C112B9D" w14:textId="1DA44E1F" w:rsidR="005D78DE" w:rsidRPr="005D78DE" w:rsidRDefault="005D78DE" w:rsidP="005D78DE">
            <w:pPr>
              <w:pStyle w:val="NoSpacing"/>
              <w:rPr>
                <w:b w:val="0"/>
                <w:bCs/>
                <w:color w:val="auto"/>
                <w:lang w:val="en-US"/>
              </w:rPr>
            </w:pPr>
            <w:r w:rsidRPr="005D78DE">
              <w:rPr>
                <w:rFonts w:cs="Calibri"/>
                <w:b w:val="0"/>
                <w:bCs/>
                <w:color w:val="auto"/>
                <w:lang w:val="en-GB" w:bidi="en-US"/>
              </w:rPr>
              <w:t>Postgraduate</w:t>
            </w:r>
          </w:p>
        </w:tc>
      </w:tr>
      <w:tr w:rsidR="005D78DE" w14:paraId="07C2D283" w14:textId="77777777" w:rsidTr="005D78DE">
        <w:tc>
          <w:tcPr>
            <w:tcW w:w="2689" w:type="dxa"/>
          </w:tcPr>
          <w:p w14:paraId="7EEF4048" w14:textId="4355CE35" w:rsidR="005D78DE" w:rsidRDefault="005D78DE" w:rsidP="005D78DE">
            <w:pPr>
              <w:pStyle w:val="NoSpacing"/>
              <w:rPr>
                <w:lang w:val="en-US"/>
              </w:rPr>
            </w:pPr>
            <w:r w:rsidRPr="00C87F71">
              <w:rPr>
                <w:rFonts w:cs="Calibri"/>
                <w:bCs/>
                <w:iCs/>
                <w:lang w:val="en-GB" w:bidi="en-US"/>
              </w:rPr>
              <w:t>ECTS</w:t>
            </w:r>
          </w:p>
        </w:tc>
        <w:tc>
          <w:tcPr>
            <w:tcW w:w="7767" w:type="dxa"/>
            <w:vAlign w:val="center"/>
          </w:tcPr>
          <w:p w14:paraId="3B821094" w14:textId="4DD4A404" w:rsidR="005D78DE" w:rsidRPr="005D78DE" w:rsidRDefault="005D78DE" w:rsidP="005D78DE">
            <w:pPr>
              <w:pStyle w:val="NoSpacing"/>
              <w:rPr>
                <w:b w:val="0"/>
                <w:bCs/>
                <w:color w:val="auto"/>
                <w:lang w:val="en-US"/>
              </w:rPr>
            </w:pPr>
            <w:r w:rsidRPr="005D78DE">
              <w:rPr>
                <w:rFonts w:cs="Calibri"/>
                <w:b w:val="0"/>
                <w:bCs/>
                <w:color w:val="auto"/>
                <w:lang w:val="en-GB" w:bidi="en-US"/>
              </w:rPr>
              <w:t>2</w:t>
            </w:r>
          </w:p>
        </w:tc>
      </w:tr>
      <w:tr w:rsidR="005D78DE" w:rsidRPr="00EB580B" w14:paraId="4DE83BD7" w14:textId="77777777" w:rsidTr="005D78DE">
        <w:tc>
          <w:tcPr>
            <w:tcW w:w="2689" w:type="dxa"/>
          </w:tcPr>
          <w:p w14:paraId="5812AFC6" w14:textId="71A50258" w:rsidR="005D78DE" w:rsidRDefault="005D78DE" w:rsidP="005D78DE">
            <w:pPr>
              <w:pStyle w:val="NoSpacing"/>
              <w:rPr>
                <w:lang w:val="en-US"/>
              </w:rPr>
            </w:pPr>
            <w:r w:rsidRPr="00C87F71">
              <w:rPr>
                <w:rFonts w:cs="Calibri"/>
                <w:bCs/>
                <w:iCs/>
                <w:lang w:val="en-GB" w:bidi="en-US"/>
              </w:rPr>
              <w:t xml:space="preserve">Study period </w:t>
            </w:r>
          </w:p>
        </w:tc>
        <w:tc>
          <w:tcPr>
            <w:tcW w:w="7767" w:type="dxa"/>
            <w:vAlign w:val="center"/>
          </w:tcPr>
          <w:p w14:paraId="5FEE2402" w14:textId="6257E274" w:rsidR="005D78DE" w:rsidRPr="005D78DE" w:rsidRDefault="005D78DE" w:rsidP="005D78DE">
            <w:pPr>
              <w:pStyle w:val="NoSpacing"/>
              <w:rPr>
                <w:b w:val="0"/>
                <w:bCs/>
                <w:color w:val="auto"/>
                <w:lang w:val="en-US"/>
              </w:rPr>
            </w:pPr>
            <w:r w:rsidRPr="005D78DE">
              <w:rPr>
                <w:rFonts w:cs="Calibri"/>
                <w:b w:val="0"/>
                <w:bCs/>
                <w:color w:val="auto"/>
                <w:lang w:val="en-GB" w:bidi="en-US"/>
              </w:rPr>
              <w:t>[</w:t>
            </w:r>
            <w:r w:rsidRPr="005D78DE">
              <w:rPr>
                <w:rFonts w:cs="Calibri"/>
                <w:b w:val="0"/>
                <w:bCs/>
                <w:i/>
                <w:color w:val="auto"/>
                <w:lang w:val="en-GB" w:bidi="en-US"/>
              </w:rPr>
              <w:t>To be completed by the HEI using it</w:t>
            </w:r>
            <w:r w:rsidRPr="005D78DE">
              <w:rPr>
                <w:rFonts w:cs="Calibri"/>
                <w:b w:val="0"/>
                <w:bCs/>
                <w:color w:val="auto"/>
                <w:lang w:val="en-GB" w:bidi="en-US"/>
              </w:rPr>
              <w:t>]</w:t>
            </w:r>
          </w:p>
        </w:tc>
      </w:tr>
      <w:tr w:rsidR="005D78DE" w14:paraId="130BFBE2" w14:textId="77777777" w:rsidTr="005D78DE">
        <w:tc>
          <w:tcPr>
            <w:tcW w:w="2689" w:type="dxa"/>
          </w:tcPr>
          <w:p w14:paraId="614C7C26" w14:textId="609758FA" w:rsidR="005D78DE" w:rsidRDefault="005D78DE" w:rsidP="005D78DE">
            <w:pPr>
              <w:pStyle w:val="NoSpacing"/>
              <w:rPr>
                <w:lang w:val="en-US"/>
              </w:rPr>
            </w:pPr>
            <w:r w:rsidRPr="00C87F71">
              <w:rPr>
                <w:rFonts w:cs="Calibri"/>
                <w:bCs/>
                <w:iCs/>
                <w:lang w:val="en-GB" w:bidi="en-US"/>
              </w:rPr>
              <w:t>Duration</w:t>
            </w:r>
          </w:p>
        </w:tc>
        <w:tc>
          <w:tcPr>
            <w:tcW w:w="7767" w:type="dxa"/>
            <w:vAlign w:val="center"/>
          </w:tcPr>
          <w:p w14:paraId="4E439DDD" w14:textId="293D4AAF" w:rsidR="005D78DE" w:rsidRPr="005D78DE" w:rsidRDefault="005D78DE" w:rsidP="005D78DE">
            <w:pPr>
              <w:pStyle w:val="NoSpacing"/>
              <w:rPr>
                <w:b w:val="0"/>
                <w:bCs/>
                <w:color w:val="auto"/>
                <w:lang w:val="en-US"/>
              </w:rPr>
            </w:pPr>
            <w:r w:rsidRPr="005D78DE">
              <w:rPr>
                <w:rFonts w:cs="Calibri"/>
                <w:b w:val="0"/>
                <w:bCs/>
                <w:color w:val="auto"/>
                <w:lang w:val="en-GB" w:bidi="en-US"/>
              </w:rPr>
              <w:t xml:space="preserve">One semester </w:t>
            </w:r>
          </w:p>
        </w:tc>
      </w:tr>
      <w:tr w:rsidR="005D78DE" w:rsidRPr="00EB580B" w14:paraId="1CCC5309" w14:textId="77777777" w:rsidTr="005D78DE">
        <w:trPr>
          <w:trHeight w:val="248"/>
        </w:trPr>
        <w:tc>
          <w:tcPr>
            <w:tcW w:w="2689" w:type="dxa"/>
          </w:tcPr>
          <w:p w14:paraId="4DCAC359" w14:textId="2F66E993" w:rsidR="005D78DE" w:rsidRDefault="005D78DE" w:rsidP="005D78DE">
            <w:pPr>
              <w:pStyle w:val="NoSpacing"/>
              <w:rPr>
                <w:lang w:val="en-US"/>
              </w:rPr>
            </w:pPr>
            <w:r w:rsidRPr="00C87F71">
              <w:rPr>
                <w:rFonts w:cs="Calibri"/>
                <w:bCs/>
                <w:iCs/>
                <w:lang w:val="en-GB" w:bidi="en-US"/>
              </w:rPr>
              <w:t xml:space="preserve">Method </w:t>
            </w:r>
          </w:p>
        </w:tc>
        <w:tc>
          <w:tcPr>
            <w:tcW w:w="7767" w:type="dxa"/>
            <w:vAlign w:val="center"/>
          </w:tcPr>
          <w:p w14:paraId="76B51AA6" w14:textId="1A1B899E" w:rsidR="005D78DE" w:rsidRPr="005D78DE" w:rsidRDefault="005D78DE" w:rsidP="005D78DE">
            <w:pPr>
              <w:pStyle w:val="NoSpacing"/>
              <w:rPr>
                <w:b w:val="0"/>
                <w:bCs/>
                <w:color w:val="auto"/>
                <w:lang w:val="en-US"/>
              </w:rPr>
            </w:pPr>
            <w:r w:rsidRPr="005D78DE">
              <w:rPr>
                <w:rFonts w:cs="Calibri"/>
                <w:b w:val="0"/>
                <w:bCs/>
                <w:color w:val="auto"/>
                <w:lang w:val="en-GB" w:bidi="en-US"/>
              </w:rPr>
              <w:t>Face-to-face or blended learning</w:t>
            </w:r>
          </w:p>
        </w:tc>
      </w:tr>
      <w:tr w:rsidR="005D78DE" w:rsidRPr="00EB580B" w14:paraId="13696D58" w14:textId="77777777" w:rsidTr="005D78DE">
        <w:tc>
          <w:tcPr>
            <w:tcW w:w="2689" w:type="dxa"/>
          </w:tcPr>
          <w:p w14:paraId="659A3624" w14:textId="2D7B2461" w:rsidR="005D78DE" w:rsidRDefault="005D78DE" w:rsidP="005D78DE">
            <w:pPr>
              <w:pStyle w:val="NoSpacing"/>
              <w:rPr>
                <w:lang w:val="en-US"/>
              </w:rPr>
            </w:pPr>
            <w:r w:rsidRPr="00C87F71">
              <w:rPr>
                <w:rFonts w:cs="Calibri"/>
                <w:bCs/>
                <w:iCs/>
                <w:lang w:val="en-GB" w:bidi="en-US"/>
              </w:rPr>
              <w:t xml:space="preserve">Objectives </w:t>
            </w:r>
          </w:p>
        </w:tc>
        <w:tc>
          <w:tcPr>
            <w:tcW w:w="7767" w:type="dxa"/>
            <w:vAlign w:val="center"/>
          </w:tcPr>
          <w:p w14:paraId="682F56A2" w14:textId="77777777" w:rsidR="005D78DE" w:rsidRPr="00EB580B" w:rsidRDefault="005D78DE" w:rsidP="00E3668B">
            <w:pPr>
              <w:widowControl w:val="0"/>
              <w:numPr>
                <w:ilvl w:val="0"/>
                <w:numId w:val="6"/>
              </w:numPr>
              <w:autoSpaceDE w:val="0"/>
              <w:autoSpaceDN w:val="0"/>
              <w:spacing w:before="9" w:after="0" w:line="276" w:lineRule="auto"/>
              <w:rPr>
                <w:rFonts w:cs="Calibri"/>
                <w:bCs/>
                <w:sz w:val="24"/>
                <w:szCs w:val="24"/>
                <w:lang w:val="en-GB" w:bidi="en-US"/>
              </w:rPr>
            </w:pPr>
            <w:r w:rsidRPr="00EB580B">
              <w:rPr>
                <w:rFonts w:cs="Calibri"/>
                <w:bCs/>
                <w:sz w:val="24"/>
                <w:szCs w:val="24"/>
                <w:lang w:val="en-GB" w:bidi="en-US"/>
              </w:rPr>
              <w:t xml:space="preserve">learn creative strategies for health and wellbeing promotion for different target groups in the population </w:t>
            </w:r>
          </w:p>
          <w:p w14:paraId="681BF3EB" w14:textId="7B1B63EF" w:rsidR="005D78DE" w:rsidRPr="005D78DE" w:rsidRDefault="005D78DE" w:rsidP="00E3668B">
            <w:pPr>
              <w:pStyle w:val="NoSpacing"/>
              <w:numPr>
                <w:ilvl w:val="0"/>
                <w:numId w:val="6"/>
              </w:numPr>
              <w:spacing w:line="276" w:lineRule="auto"/>
              <w:rPr>
                <w:b w:val="0"/>
                <w:bCs/>
                <w:color w:val="auto"/>
                <w:lang w:val="en-US"/>
              </w:rPr>
            </w:pPr>
            <w:r w:rsidRPr="005D78DE">
              <w:rPr>
                <w:rFonts w:cs="Calibri"/>
                <w:b w:val="0"/>
                <w:bCs/>
                <w:color w:val="auto"/>
                <w:lang w:val="en-GB" w:bidi="en-US"/>
              </w:rPr>
              <w:t>learn how these strategies can be implemented within different health and wellbeing promotion interventions at individual and community level</w:t>
            </w:r>
          </w:p>
        </w:tc>
      </w:tr>
      <w:tr w:rsidR="005D78DE" w:rsidRPr="00EB580B" w14:paraId="62B87DD5" w14:textId="77777777" w:rsidTr="005D78DE">
        <w:trPr>
          <w:trHeight w:val="701"/>
        </w:trPr>
        <w:tc>
          <w:tcPr>
            <w:tcW w:w="2689" w:type="dxa"/>
          </w:tcPr>
          <w:p w14:paraId="4E947CD2" w14:textId="64D5B4EB" w:rsidR="005D78DE" w:rsidRDefault="005D78DE" w:rsidP="005D78DE">
            <w:pPr>
              <w:pStyle w:val="NoSpacing"/>
              <w:rPr>
                <w:lang w:val="en-US"/>
              </w:rPr>
            </w:pPr>
            <w:r w:rsidRPr="00C87F71">
              <w:rPr>
                <w:rFonts w:cs="Calibri"/>
                <w:bCs/>
                <w:iCs/>
                <w:lang w:val="en-GB" w:bidi="en-US"/>
              </w:rPr>
              <w:t>Students’ evaluation</w:t>
            </w:r>
          </w:p>
        </w:tc>
        <w:tc>
          <w:tcPr>
            <w:tcW w:w="7767" w:type="dxa"/>
            <w:vAlign w:val="center"/>
          </w:tcPr>
          <w:p w14:paraId="31855271" w14:textId="758A8731" w:rsidR="005D78DE" w:rsidRPr="005D78DE" w:rsidRDefault="005D78DE" w:rsidP="005D78DE">
            <w:pPr>
              <w:pStyle w:val="NoSpacing"/>
              <w:spacing w:line="276" w:lineRule="auto"/>
              <w:rPr>
                <w:b w:val="0"/>
                <w:bCs/>
                <w:color w:val="auto"/>
                <w:lang w:val="en-US"/>
              </w:rPr>
            </w:pPr>
            <w:r w:rsidRPr="005D78DE">
              <w:rPr>
                <w:rFonts w:cs="Calibri"/>
                <w:b w:val="0"/>
                <w:bCs/>
                <w:color w:val="auto"/>
                <w:lang w:val="en-GB" w:bidi="en-US"/>
              </w:rPr>
              <w:t xml:space="preserve">Active participation in the course and final assignment. Grading system is based on pass or fail. </w:t>
            </w:r>
          </w:p>
        </w:tc>
      </w:tr>
    </w:tbl>
    <w:p w14:paraId="30F5AA82" w14:textId="77777777" w:rsidR="005D78DE" w:rsidRDefault="005D78DE" w:rsidP="005E55AE">
      <w:pPr>
        <w:pStyle w:val="NoSpacing"/>
        <w:rPr>
          <w:lang w:val="en-US"/>
        </w:rPr>
      </w:pPr>
    </w:p>
    <w:p w14:paraId="55DF9D3F" w14:textId="77777777" w:rsidR="005D78DE" w:rsidRDefault="005D78DE" w:rsidP="005E55AE">
      <w:pPr>
        <w:pStyle w:val="NoSpacing"/>
        <w:rPr>
          <w:lang w:val="en-US"/>
        </w:rPr>
      </w:pPr>
    </w:p>
    <w:p w14:paraId="2B9E7138" w14:textId="2C6B71B3" w:rsidR="001A4D68" w:rsidRPr="005E55AE" w:rsidRDefault="001A4D68" w:rsidP="005E55AE">
      <w:pPr>
        <w:pStyle w:val="NoSpacing"/>
        <w:rPr>
          <w:lang w:val="en-US"/>
        </w:rPr>
      </w:pPr>
      <w:r w:rsidRPr="005E55AE">
        <w:rPr>
          <w:lang w:val="en-US"/>
        </w:rPr>
        <w:t>Background</w:t>
      </w:r>
    </w:p>
    <w:p w14:paraId="786A4004" w14:textId="1FD4BA68" w:rsidR="00E76D29" w:rsidRPr="00131A7C" w:rsidRDefault="00E76D29" w:rsidP="003F533A">
      <w:pPr>
        <w:spacing w:line="276" w:lineRule="auto"/>
        <w:jc w:val="both"/>
        <w:rPr>
          <w:b/>
          <w:color w:val="000000"/>
          <w:lang w:val="en-US"/>
        </w:rPr>
      </w:pPr>
      <w:r w:rsidRPr="0004500C">
        <w:rPr>
          <w:color w:val="000000"/>
          <w:lang w:val="en-US"/>
        </w:rPr>
        <w:t>According to W.H.O, Health Promotion is the process of enabling people to increase control over, and to improve their health (WHO</w:t>
      </w:r>
      <w:r w:rsidR="00053B00" w:rsidRPr="00053B00">
        <w:rPr>
          <w:color w:val="000000"/>
          <w:lang w:val="en-GB"/>
        </w:rPr>
        <w:t xml:space="preserve">, </w:t>
      </w:r>
      <w:r w:rsidRPr="0004500C">
        <w:rPr>
          <w:color w:val="000000"/>
          <w:lang w:val="en-US"/>
        </w:rPr>
        <w:t>1998). Health is created and lived by people within the settings of their everyday life; where they learn, work, play and love</w:t>
      </w:r>
      <w:r w:rsidR="00131A7C" w:rsidRPr="00131A7C">
        <w:rPr>
          <w:rFonts w:cs="Arial"/>
          <w:color w:val="000000"/>
          <w:lang w:val="en-US"/>
        </w:rPr>
        <w:t>.</w:t>
      </w:r>
    </w:p>
    <w:p w14:paraId="1F26CF05" w14:textId="77777777" w:rsidR="00C57C05" w:rsidRPr="0004500C" w:rsidRDefault="00C57C05" w:rsidP="003F533A">
      <w:pPr>
        <w:spacing w:line="276" w:lineRule="auto"/>
        <w:jc w:val="both"/>
        <w:rPr>
          <w:b/>
          <w:color w:val="000000"/>
          <w:lang w:val="en-US"/>
        </w:rPr>
      </w:pPr>
    </w:p>
    <w:p w14:paraId="2EE0A625" w14:textId="7C33A208" w:rsidR="00E76D29" w:rsidRPr="0004500C" w:rsidRDefault="00E76D29" w:rsidP="003F533A">
      <w:pPr>
        <w:spacing w:line="276" w:lineRule="auto"/>
        <w:jc w:val="both"/>
        <w:rPr>
          <w:b/>
          <w:color w:val="000000"/>
          <w:lang w:val="en-US"/>
        </w:rPr>
      </w:pPr>
      <w:r w:rsidRPr="0004500C">
        <w:rPr>
          <w:color w:val="000000"/>
          <w:lang w:val="en-US"/>
        </w:rPr>
        <w:t>Creativity is described as a vital part of making creative things and define it as the innate ability to think and act with real sources, to be inventive and imaginative and to find new and real solutions for the needs, the issues and exp</w:t>
      </w:r>
      <w:r w:rsidR="0079637F">
        <w:rPr>
          <w:color w:val="000000"/>
          <w:lang w:val="en-US"/>
        </w:rPr>
        <w:t>ression forms (Hansen et al</w:t>
      </w:r>
      <w:r w:rsidR="00053B00" w:rsidRPr="00053B00">
        <w:rPr>
          <w:color w:val="000000"/>
          <w:lang w:val="en-GB"/>
        </w:rPr>
        <w:t xml:space="preserve">., </w:t>
      </w:r>
      <w:r w:rsidR="0079637F">
        <w:rPr>
          <w:color w:val="000000"/>
          <w:lang w:val="en-US"/>
        </w:rPr>
        <w:t>2020</w:t>
      </w:r>
      <w:r w:rsidRPr="0004500C">
        <w:rPr>
          <w:color w:val="000000"/>
          <w:lang w:val="en-US"/>
        </w:rPr>
        <w:t xml:space="preserve">). Creative methods are seen as a vehicle for someone’s </w:t>
      </w:r>
      <w:r w:rsidR="0001163C" w:rsidRPr="0004500C">
        <w:rPr>
          <w:color w:val="000000"/>
          <w:lang w:val="en-US"/>
        </w:rPr>
        <w:t>self-expression</w:t>
      </w:r>
      <w:r w:rsidRPr="0004500C">
        <w:rPr>
          <w:color w:val="000000"/>
          <w:lang w:val="en-US"/>
        </w:rPr>
        <w:t xml:space="preserve"> (</w:t>
      </w:r>
      <w:r w:rsidR="007C789F" w:rsidRPr="0004500C">
        <w:rPr>
          <w:color w:val="000000"/>
          <w:lang w:val="en-US"/>
        </w:rPr>
        <w:t>Müllersdorf</w:t>
      </w:r>
      <w:r w:rsidRPr="0004500C">
        <w:rPr>
          <w:color w:val="000000"/>
          <w:lang w:val="en-US"/>
        </w:rPr>
        <w:t xml:space="preserve"> </w:t>
      </w:r>
      <w:r w:rsidR="00053B00" w:rsidRPr="00053B00">
        <w:rPr>
          <w:color w:val="000000"/>
          <w:lang w:val="en-GB"/>
        </w:rPr>
        <w:t>&amp;</w:t>
      </w:r>
      <w:r w:rsidRPr="0004500C">
        <w:rPr>
          <w:color w:val="000000"/>
          <w:lang w:val="en-US"/>
        </w:rPr>
        <w:t xml:space="preserve"> Ivarsson</w:t>
      </w:r>
      <w:r w:rsidR="00053B00" w:rsidRPr="00053B00">
        <w:rPr>
          <w:color w:val="000000"/>
          <w:lang w:val="en-GB"/>
        </w:rPr>
        <w:t xml:space="preserve">, </w:t>
      </w:r>
      <w:r w:rsidRPr="0004500C">
        <w:rPr>
          <w:color w:val="000000"/>
          <w:lang w:val="en-US"/>
        </w:rPr>
        <w:t>2016) whereas they make a significant difference on people’s health and wellbeing (Cameron et al</w:t>
      </w:r>
      <w:r w:rsidR="00053B00" w:rsidRPr="00053B00">
        <w:rPr>
          <w:color w:val="000000"/>
          <w:lang w:val="en-GB"/>
        </w:rPr>
        <w:t>.,</w:t>
      </w:r>
      <w:r w:rsidRPr="0004500C">
        <w:rPr>
          <w:color w:val="000000"/>
          <w:lang w:val="en-US"/>
        </w:rPr>
        <w:t xml:space="preserve"> 2013). </w:t>
      </w:r>
      <w:r w:rsidR="0001163C" w:rsidRPr="00C05229">
        <w:rPr>
          <w:color w:val="000000"/>
          <w:lang w:val="en-US"/>
        </w:rPr>
        <w:t>Some methods</w:t>
      </w:r>
      <w:r w:rsidR="0001163C" w:rsidRPr="0001163C">
        <w:rPr>
          <w:color w:val="000000"/>
          <w:lang w:val="en-US"/>
        </w:rPr>
        <w:t xml:space="preserve"> of creativity are: Photography, Ceramics, Dance, Games, Sculpture, Drawing and Music (University of the Arts</w:t>
      </w:r>
      <w:r w:rsidR="00053B00" w:rsidRPr="00053B00">
        <w:rPr>
          <w:color w:val="000000"/>
          <w:lang w:val="en-GB"/>
        </w:rPr>
        <w:t>,</w:t>
      </w:r>
      <w:r w:rsidR="0001163C" w:rsidRPr="0001163C">
        <w:rPr>
          <w:color w:val="000000"/>
          <w:lang w:val="en-US"/>
        </w:rPr>
        <w:t xml:space="preserve"> 2021).</w:t>
      </w:r>
    </w:p>
    <w:p w14:paraId="7B529D2C" w14:textId="77777777" w:rsidR="0001163C" w:rsidRPr="0004500C" w:rsidRDefault="0001163C" w:rsidP="003F533A">
      <w:pPr>
        <w:spacing w:line="276" w:lineRule="auto"/>
        <w:jc w:val="both"/>
        <w:rPr>
          <w:color w:val="000000"/>
          <w:lang w:val="en-US"/>
        </w:rPr>
      </w:pPr>
    </w:p>
    <w:p w14:paraId="2B64A8FB" w14:textId="4965CCF4" w:rsidR="00E76D29" w:rsidRPr="00C57C05" w:rsidRDefault="00E50370" w:rsidP="003F533A">
      <w:pPr>
        <w:spacing w:line="276" w:lineRule="auto"/>
        <w:jc w:val="both"/>
        <w:rPr>
          <w:color w:val="000000"/>
          <w:lang w:val="en-US"/>
        </w:rPr>
      </w:pPr>
      <w:r>
        <w:rPr>
          <w:color w:val="000000"/>
          <w:lang w:val="en-US"/>
        </w:rPr>
        <w:t xml:space="preserve">Interventions including creativity approaches </w:t>
      </w:r>
      <w:r w:rsidR="00735D79" w:rsidRPr="00C57C05">
        <w:rPr>
          <w:color w:val="000000"/>
          <w:lang w:val="en-US"/>
        </w:rPr>
        <w:t xml:space="preserve">allow participants </w:t>
      </w:r>
      <w:r>
        <w:rPr>
          <w:color w:val="000000"/>
          <w:lang w:val="en-US"/>
        </w:rPr>
        <w:t xml:space="preserve">to </w:t>
      </w:r>
      <w:r w:rsidR="00735D79" w:rsidRPr="00C57C05">
        <w:rPr>
          <w:color w:val="000000"/>
          <w:lang w:val="en-US"/>
        </w:rPr>
        <w:t xml:space="preserve">feel pride, reflect, have sense of belonging, improve owns skills, self-esteem, satisfaction </w:t>
      </w:r>
      <w:r w:rsidR="00C913FA">
        <w:rPr>
          <w:color w:val="000000"/>
          <w:lang w:val="en-US"/>
        </w:rPr>
        <w:t xml:space="preserve">and rest </w:t>
      </w:r>
      <w:r w:rsidR="00735D79" w:rsidRPr="00C57C05">
        <w:rPr>
          <w:color w:val="000000"/>
          <w:lang w:val="en-US"/>
        </w:rPr>
        <w:t>(</w:t>
      </w:r>
      <w:r w:rsidR="005D78DE" w:rsidRPr="00C57C05">
        <w:rPr>
          <w:color w:val="000000"/>
          <w:lang w:val="en-US"/>
        </w:rPr>
        <w:t>Müllersdorf</w:t>
      </w:r>
      <w:r w:rsidR="00735D79" w:rsidRPr="00C57C05">
        <w:rPr>
          <w:color w:val="000000"/>
          <w:lang w:val="en-US"/>
        </w:rPr>
        <w:t xml:space="preserve"> </w:t>
      </w:r>
      <w:r w:rsidR="00053B00" w:rsidRPr="00053B00">
        <w:rPr>
          <w:color w:val="000000"/>
          <w:lang w:val="en-GB"/>
        </w:rPr>
        <w:t xml:space="preserve">&amp; </w:t>
      </w:r>
      <w:r w:rsidR="00735D79" w:rsidRPr="00C57C05">
        <w:rPr>
          <w:color w:val="000000"/>
          <w:lang w:val="en-US"/>
        </w:rPr>
        <w:t>Ivarsson</w:t>
      </w:r>
      <w:r w:rsidR="00053B00" w:rsidRPr="00053B00">
        <w:rPr>
          <w:color w:val="000000"/>
          <w:lang w:val="en-GB"/>
        </w:rPr>
        <w:t xml:space="preserve">, </w:t>
      </w:r>
      <w:r w:rsidR="00735D79" w:rsidRPr="00C57C05">
        <w:rPr>
          <w:color w:val="000000"/>
          <w:lang w:val="en-US"/>
        </w:rPr>
        <w:t>2016</w:t>
      </w:r>
      <w:r w:rsidR="00053B00" w:rsidRPr="00053B00">
        <w:rPr>
          <w:color w:val="000000"/>
          <w:lang w:val="en-GB"/>
        </w:rPr>
        <w:t>;</w:t>
      </w:r>
      <w:r w:rsidR="00735D79" w:rsidRPr="00C57C05">
        <w:rPr>
          <w:color w:val="000000"/>
          <w:lang w:val="en-US"/>
        </w:rPr>
        <w:t xml:space="preserve"> Pollanen</w:t>
      </w:r>
      <w:r w:rsidR="00053B00" w:rsidRPr="00053B00">
        <w:rPr>
          <w:color w:val="000000"/>
          <w:lang w:val="en-GB"/>
        </w:rPr>
        <w:t>,</w:t>
      </w:r>
      <w:r w:rsidR="00735D79" w:rsidRPr="00C57C05">
        <w:rPr>
          <w:color w:val="000000"/>
          <w:lang w:val="en-US"/>
        </w:rPr>
        <w:t xml:space="preserve"> 2013</w:t>
      </w:r>
      <w:r w:rsidR="00053B00" w:rsidRPr="00053B00">
        <w:rPr>
          <w:color w:val="000000"/>
          <w:lang w:val="en-GB"/>
        </w:rPr>
        <w:t>;</w:t>
      </w:r>
      <w:r w:rsidR="00735D79" w:rsidRPr="00C57C05">
        <w:rPr>
          <w:color w:val="000000"/>
          <w:lang w:val="en-US"/>
        </w:rPr>
        <w:t xml:space="preserve"> Bellamy</w:t>
      </w:r>
      <w:r w:rsidR="00053B00" w:rsidRPr="00053B00">
        <w:rPr>
          <w:color w:val="000000"/>
          <w:lang w:val="en-GB"/>
        </w:rPr>
        <w:t>,</w:t>
      </w:r>
      <w:r w:rsidR="00735D79" w:rsidRPr="00C57C05">
        <w:rPr>
          <w:color w:val="000000"/>
          <w:lang w:val="en-US"/>
        </w:rPr>
        <w:t xml:space="preserve"> 2018). </w:t>
      </w:r>
      <w:r w:rsidR="00E76D29" w:rsidRPr="0004500C">
        <w:rPr>
          <w:color w:val="000000"/>
          <w:lang w:val="en-US"/>
        </w:rPr>
        <w:t xml:space="preserve">There are several benefits gained by </w:t>
      </w:r>
      <w:r w:rsidR="00C57C05" w:rsidRPr="0004500C">
        <w:rPr>
          <w:color w:val="000000"/>
          <w:lang w:val="en-US"/>
        </w:rPr>
        <w:t xml:space="preserve">creative </w:t>
      </w:r>
      <w:r w:rsidR="00E76D29" w:rsidRPr="0004500C">
        <w:rPr>
          <w:color w:val="000000"/>
          <w:lang w:val="en-US"/>
        </w:rPr>
        <w:t>based interventions</w:t>
      </w:r>
      <w:r w:rsidR="00C57C05" w:rsidRPr="0004500C">
        <w:rPr>
          <w:color w:val="000000"/>
          <w:lang w:val="en-US"/>
        </w:rPr>
        <w:t xml:space="preserve"> that have been supported in the literature. For example,</w:t>
      </w:r>
      <w:r w:rsidR="00E76D29" w:rsidRPr="0004500C">
        <w:rPr>
          <w:color w:val="000000"/>
          <w:lang w:val="en-US"/>
        </w:rPr>
        <w:t xml:space="preserve"> improved physical and mental well-being, </w:t>
      </w:r>
      <w:r w:rsidR="00C57C05" w:rsidRPr="0004500C">
        <w:rPr>
          <w:color w:val="000000"/>
          <w:lang w:val="en-US"/>
        </w:rPr>
        <w:t>(Clift</w:t>
      </w:r>
      <w:r w:rsidR="00053B00" w:rsidRPr="00053B00">
        <w:rPr>
          <w:color w:val="000000"/>
          <w:lang w:val="en-GB"/>
        </w:rPr>
        <w:t xml:space="preserve">, </w:t>
      </w:r>
      <w:r w:rsidR="00C57C05" w:rsidRPr="0004500C">
        <w:rPr>
          <w:color w:val="000000"/>
          <w:lang w:val="en-US"/>
        </w:rPr>
        <w:t xml:space="preserve">2012), social integration </w:t>
      </w:r>
      <w:r w:rsidR="00E76D29" w:rsidRPr="0004500C">
        <w:rPr>
          <w:color w:val="000000"/>
          <w:lang w:val="en-US"/>
        </w:rPr>
        <w:t>(Tymoszuk</w:t>
      </w:r>
      <w:r w:rsidR="00053B00" w:rsidRPr="00053B00">
        <w:rPr>
          <w:color w:val="000000"/>
          <w:lang w:val="en-GB"/>
        </w:rPr>
        <w:t xml:space="preserve"> </w:t>
      </w:r>
      <w:r w:rsidR="00E76D29" w:rsidRPr="0004500C">
        <w:rPr>
          <w:color w:val="000000"/>
          <w:lang w:val="en-US"/>
        </w:rPr>
        <w:t>et al</w:t>
      </w:r>
      <w:r w:rsidR="00053B00" w:rsidRPr="00053B00">
        <w:rPr>
          <w:color w:val="000000"/>
          <w:lang w:val="en-GB"/>
        </w:rPr>
        <w:t>.,</w:t>
      </w:r>
      <w:r w:rsidR="00E76D29" w:rsidRPr="0004500C">
        <w:rPr>
          <w:color w:val="000000"/>
          <w:lang w:val="en-US"/>
        </w:rPr>
        <w:t xml:space="preserve"> 20</w:t>
      </w:r>
      <w:r w:rsidR="00C57C05" w:rsidRPr="0004500C">
        <w:rPr>
          <w:color w:val="000000"/>
          <w:lang w:val="en-US"/>
        </w:rPr>
        <w:t>21), improved coping abilities</w:t>
      </w:r>
      <w:r w:rsidR="00E76D29" w:rsidRPr="0004500C">
        <w:rPr>
          <w:color w:val="000000"/>
          <w:lang w:val="en-US"/>
        </w:rPr>
        <w:t xml:space="preserve">, </w:t>
      </w:r>
      <w:r w:rsidR="00C57C05" w:rsidRPr="0004500C">
        <w:rPr>
          <w:color w:val="000000"/>
          <w:lang w:val="en-US"/>
        </w:rPr>
        <w:t xml:space="preserve">better body understanding </w:t>
      </w:r>
      <w:r w:rsidR="00E76D29" w:rsidRPr="0004500C">
        <w:rPr>
          <w:color w:val="000000"/>
          <w:lang w:val="en-US"/>
        </w:rPr>
        <w:t xml:space="preserve">(Jensen </w:t>
      </w:r>
      <w:r w:rsidR="00053B00" w:rsidRPr="00053B00">
        <w:rPr>
          <w:color w:val="000000"/>
          <w:lang w:val="en-GB"/>
        </w:rPr>
        <w:t xml:space="preserve">&amp; </w:t>
      </w:r>
      <w:r w:rsidR="00E76D29" w:rsidRPr="0004500C">
        <w:rPr>
          <w:color w:val="000000"/>
          <w:lang w:val="en-US"/>
        </w:rPr>
        <w:t xml:space="preserve"> Bonde</w:t>
      </w:r>
      <w:r w:rsidR="00053B00" w:rsidRPr="00053B00">
        <w:rPr>
          <w:color w:val="000000"/>
          <w:lang w:val="en-GB"/>
        </w:rPr>
        <w:t xml:space="preserve">, </w:t>
      </w:r>
      <w:r w:rsidR="00E76D29" w:rsidRPr="0004500C">
        <w:rPr>
          <w:color w:val="000000"/>
          <w:lang w:val="en-US"/>
        </w:rPr>
        <w:t>2018</w:t>
      </w:r>
      <w:r w:rsidR="00053B00" w:rsidRPr="00053B00">
        <w:rPr>
          <w:color w:val="000000"/>
          <w:lang w:val="en-GB"/>
        </w:rPr>
        <w:t>;</w:t>
      </w:r>
      <w:r w:rsidR="00E76D29" w:rsidRPr="0004500C">
        <w:rPr>
          <w:color w:val="000000"/>
          <w:lang w:val="en-US"/>
        </w:rPr>
        <w:t xml:space="preserve"> Gillam</w:t>
      </w:r>
      <w:r w:rsidR="00053B00" w:rsidRPr="00053B00">
        <w:rPr>
          <w:color w:val="000000"/>
          <w:lang w:val="en-GB"/>
        </w:rPr>
        <w:t>,</w:t>
      </w:r>
      <w:r w:rsidR="00E76D29" w:rsidRPr="0004500C">
        <w:rPr>
          <w:color w:val="000000"/>
          <w:lang w:val="en-US"/>
        </w:rPr>
        <w:t xml:space="preserve"> 2018), </w:t>
      </w:r>
      <w:r w:rsidR="00C57C05" w:rsidRPr="0004500C">
        <w:rPr>
          <w:color w:val="000000"/>
          <w:lang w:val="en-US"/>
        </w:rPr>
        <w:t xml:space="preserve">increased in </w:t>
      </w:r>
      <w:r w:rsidR="00E76D29" w:rsidRPr="0004500C">
        <w:rPr>
          <w:color w:val="000000"/>
          <w:lang w:val="en-US"/>
        </w:rPr>
        <w:t xml:space="preserve">positive feelings, relief, relaxation, concentration, </w:t>
      </w:r>
      <w:r w:rsidR="00C57C05" w:rsidRPr="0004500C">
        <w:rPr>
          <w:color w:val="000000"/>
          <w:lang w:val="en-US"/>
        </w:rPr>
        <w:t>motivation and increased energy</w:t>
      </w:r>
      <w:r w:rsidR="00D36765">
        <w:rPr>
          <w:color w:val="000000"/>
          <w:lang w:val="en-US"/>
        </w:rPr>
        <w:t xml:space="preserve"> (Hansen et al</w:t>
      </w:r>
      <w:r w:rsidR="00053B00" w:rsidRPr="00053B00">
        <w:rPr>
          <w:color w:val="000000"/>
          <w:lang w:val="en-GB"/>
        </w:rPr>
        <w:t>.,</w:t>
      </w:r>
      <w:r w:rsidR="00D36765">
        <w:rPr>
          <w:color w:val="000000"/>
          <w:lang w:val="en-US"/>
        </w:rPr>
        <w:t xml:space="preserve"> 2020</w:t>
      </w:r>
      <w:r w:rsidR="00053B00" w:rsidRPr="00053B00">
        <w:rPr>
          <w:color w:val="000000"/>
          <w:lang w:val="en-GB"/>
        </w:rPr>
        <w:t>;</w:t>
      </w:r>
      <w:r w:rsidR="00E76D29" w:rsidRPr="0004500C">
        <w:rPr>
          <w:color w:val="000000"/>
          <w:lang w:val="en-US"/>
        </w:rPr>
        <w:t xml:space="preserve"> Murphy et al</w:t>
      </w:r>
      <w:r w:rsidR="00053B00" w:rsidRPr="00053B00">
        <w:rPr>
          <w:color w:val="000000"/>
          <w:lang w:val="en-GB"/>
        </w:rPr>
        <w:t>.,</w:t>
      </w:r>
      <w:r w:rsidR="00E76D29" w:rsidRPr="0004500C">
        <w:rPr>
          <w:color w:val="000000"/>
          <w:lang w:val="en-US"/>
        </w:rPr>
        <w:t xml:space="preserve"> 2020)</w:t>
      </w:r>
      <w:r w:rsidR="00E76D29" w:rsidRPr="00C57C05">
        <w:rPr>
          <w:color w:val="000000"/>
          <w:lang w:val="en-US"/>
        </w:rPr>
        <w:t xml:space="preserve">, changes on beliefs and behavior, increased </w:t>
      </w:r>
      <w:r w:rsidR="00C57C05" w:rsidRPr="00C57C05">
        <w:rPr>
          <w:color w:val="000000"/>
          <w:lang w:val="en-US"/>
        </w:rPr>
        <w:t>self-esteem</w:t>
      </w:r>
      <w:r w:rsidR="00E76D29" w:rsidRPr="00C57C05">
        <w:rPr>
          <w:color w:val="000000"/>
          <w:lang w:val="en-US"/>
        </w:rPr>
        <w:t xml:space="preserve"> and confidence, drug abuse reduction, increased interpersonal development skills and </w:t>
      </w:r>
      <w:r w:rsidR="00C57C05" w:rsidRPr="00C57C05">
        <w:rPr>
          <w:color w:val="000000"/>
          <w:lang w:val="en-US"/>
        </w:rPr>
        <w:t>self-empowerment</w:t>
      </w:r>
      <w:r w:rsidR="00E76D29" w:rsidRPr="00C57C05">
        <w:rPr>
          <w:color w:val="000000"/>
          <w:lang w:val="en-US"/>
        </w:rPr>
        <w:t xml:space="preserve"> were also documented (Bungay</w:t>
      </w:r>
      <w:r w:rsidR="00053B00" w:rsidRPr="00053B00">
        <w:rPr>
          <w:color w:val="000000"/>
          <w:lang w:val="en-GB"/>
        </w:rPr>
        <w:t xml:space="preserve"> &amp; </w:t>
      </w:r>
      <w:r w:rsidR="00E76D29" w:rsidRPr="00C57C05">
        <w:rPr>
          <w:color w:val="000000"/>
          <w:lang w:val="en-US"/>
        </w:rPr>
        <w:t>Burrows</w:t>
      </w:r>
      <w:r w:rsidR="00053B00" w:rsidRPr="00053B00">
        <w:rPr>
          <w:color w:val="000000"/>
          <w:lang w:val="en-GB"/>
        </w:rPr>
        <w:t>,</w:t>
      </w:r>
      <w:r w:rsidR="00E76D29" w:rsidRPr="00C57C05">
        <w:rPr>
          <w:color w:val="000000"/>
          <w:lang w:val="en-US"/>
        </w:rPr>
        <w:t xml:space="preserve"> 2013</w:t>
      </w:r>
      <w:r w:rsidR="00053B00" w:rsidRPr="00053B00">
        <w:rPr>
          <w:color w:val="000000"/>
          <w:lang w:val="en-GB"/>
        </w:rPr>
        <w:t>;</w:t>
      </w:r>
      <w:r w:rsidR="00E76D29" w:rsidRPr="00C57C05">
        <w:rPr>
          <w:color w:val="000000"/>
          <w:lang w:val="en-US"/>
        </w:rPr>
        <w:t xml:space="preserve"> Mbizvo</w:t>
      </w:r>
      <w:r w:rsidR="00053B00" w:rsidRPr="00053B00">
        <w:rPr>
          <w:color w:val="000000"/>
          <w:lang w:val="en-GB"/>
        </w:rPr>
        <w:t xml:space="preserve">, </w:t>
      </w:r>
      <w:r w:rsidR="00E76D29" w:rsidRPr="00C57C05">
        <w:rPr>
          <w:color w:val="000000"/>
          <w:lang w:val="en-US"/>
        </w:rPr>
        <w:t xml:space="preserve">2006). </w:t>
      </w:r>
    </w:p>
    <w:p w14:paraId="481529EB" w14:textId="77777777" w:rsidR="005E55AE" w:rsidRDefault="005E55AE" w:rsidP="003F533A">
      <w:pPr>
        <w:spacing w:line="276" w:lineRule="auto"/>
        <w:jc w:val="both"/>
        <w:rPr>
          <w:b/>
          <w:lang w:val="en-US"/>
        </w:rPr>
      </w:pPr>
    </w:p>
    <w:p w14:paraId="266D526A" w14:textId="77777777" w:rsidR="005E55AE" w:rsidRDefault="005E55AE" w:rsidP="003F533A">
      <w:pPr>
        <w:spacing w:line="276" w:lineRule="auto"/>
        <w:jc w:val="both"/>
        <w:rPr>
          <w:b/>
          <w:lang w:val="en-US"/>
        </w:rPr>
      </w:pPr>
    </w:p>
    <w:p w14:paraId="6B78ED0C" w14:textId="77777777" w:rsidR="005D78DE" w:rsidRDefault="005D78DE" w:rsidP="003F533A">
      <w:pPr>
        <w:spacing w:line="276" w:lineRule="auto"/>
        <w:jc w:val="both"/>
        <w:rPr>
          <w:b/>
          <w:lang w:val="en-US"/>
        </w:rPr>
      </w:pPr>
    </w:p>
    <w:p w14:paraId="59BAD521" w14:textId="77777777" w:rsidR="006316DE" w:rsidRDefault="006316DE" w:rsidP="005E55AE">
      <w:pPr>
        <w:pStyle w:val="NoSpacing"/>
        <w:rPr>
          <w:lang w:val="en-US"/>
        </w:rPr>
      </w:pPr>
    </w:p>
    <w:p w14:paraId="32457010" w14:textId="7CE78A8A" w:rsidR="001A4D68" w:rsidRPr="005E55AE" w:rsidRDefault="001A4D68" w:rsidP="005E55AE">
      <w:pPr>
        <w:pStyle w:val="NoSpacing"/>
        <w:rPr>
          <w:lang w:val="en-US"/>
        </w:rPr>
      </w:pPr>
      <w:r w:rsidRPr="005E55AE">
        <w:rPr>
          <w:lang w:val="en-US"/>
        </w:rPr>
        <w:t>Learning outcomes</w:t>
      </w:r>
    </w:p>
    <w:p w14:paraId="2CE8E084" w14:textId="77777777" w:rsidR="001A4D68" w:rsidRDefault="001A4D68" w:rsidP="003F533A">
      <w:pPr>
        <w:spacing w:line="276" w:lineRule="auto"/>
        <w:jc w:val="both"/>
        <w:rPr>
          <w:lang w:val="en-US"/>
        </w:rPr>
      </w:pPr>
      <w:r w:rsidRPr="001A4D68">
        <w:rPr>
          <w:lang w:val="en-US"/>
        </w:rPr>
        <w:t xml:space="preserve">At the completion of the </w:t>
      </w:r>
      <w:r w:rsidR="00575107">
        <w:rPr>
          <w:lang w:val="en-US"/>
        </w:rPr>
        <w:t>course</w:t>
      </w:r>
      <w:r w:rsidRPr="001A4D68">
        <w:rPr>
          <w:lang w:val="en-US"/>
        </w:rPr>
        <w:t>, students will:</w:t>
      </w:r>
    </w:p>
    <w:p w14:paraId="7CFA0576" w14:textId="77777777" w:rsidR="00C815EC" w:rsidRDefault="001926E3" w:rsidP="003F533A">
      <w:pPr>
        <w:spacing w:line="276" w:lineRule="auto"/>
        <w:jc w:val="both"/>
        <w:rPr>
          <w:lang w:val="en-US"/>
        </w:rPr>
      </w:pPr>
      <w:r w:rsidRPr="00441A1F">
        <w:rPr>
          <w:lang w:val="en-US"/>
        </w:rPr>
        <w:t xml:space="preserve">- </w:t>
      </w:r>
      <w:r w:rsidR="00441A1F">
        <w:rPr>
          <w:lang w:val="en-US"/>
        </w:rPr>
        <w:t xml:space="preserve">know the concepts of health and well-being promotion </w:t>
      </w:r>
      <w:r w:rsidR="00C815EC">
        <w:rPr>
          <w:lang w:val="en-US"/>
        </w:rPr>
        <w:t>and how they may be defined in different contexts</w:t>
      </w:r>
    </w:p>
    <w:p w14:paraId="1EB07415" w14:textId="77777777" w:rsidR="00441A1F" w:rsidRDefault="00441A1F" w:rsidP="003F533A">
      <w:pPr>
        <w:spacing w:line="276" w:lineRule="auto"/>
        <w:jc w:val="both"/>
        <w:rPr>
          <w:lang w:val="en-US"/>
        </w:rPr>
      </w:pPr>
      <w:r>
        <w:rPr>
          <w:lang w:val="en-US"/>
        </w:rPr>
        <w:t xml:space="preserve">- </w:t>
      </w:r>
      <w:r w:rsidRPr="003A64D3">
        <w:rPr>
          <w:lang w:val="en-US"/>
        </w:rPr>
        <w:t xml:space="preserve">be aware of the participatory approach and co-production in </w:t>
      </w:r>
      <w:r w:rsidR="003A64D3" w:rsidRPr="003A64D3">
        <w:rPr>
          <w:lang w:val="en-US"/>
        </w:rPr>
        <w:t>health and well-being promotion</w:t>
      </w:r>
    </w:p>
    <w:p w14:paraId="726218FA" w14:textId="77777777" w:rsidR="00FF6397" w:rsidRDefault="00FF6397" w:rsidP="003F533A">
      <w:pPr>
        <w:spacing w:line="276" w:lineRule="auto"/>
        <w:jc w:val="both"/>
        <w:rPr>
          <w:lang w:val="en-US"/>
        </w:rPr>
      </w:pPr>
      <w:r>
        <w:rPr>
          <w:lang w:val="en-US"/>
        </w:rPr>
        <w:t xml:space="preserve">- </w:t>
      </w:r>
      <w:r w:rsidRPr="00FF6397">
        <w:rPr>
          <w:lang w:val="en-US"/>
        </w:rPr>
        <w:t>develop their critical thinking and creativity</w:t>
      </w:r>
    </w:p>
    <w:p w14:paraId="3865165F" w14:textId="77777777" w:rsidR="00FF6397" w:rsidRDefault="00FF6397" w:rsidP="003F533A">
      <w:pPr>
        <w:spacing w:line="276" w:lineRule="auto"/>
        <w:jc w:val="both"/>
        <w:rPr>
          <w:lang w:val="en-US"/>
        </w:rPr>
      </w:pPr>
      <w:r>
        <w:rPr>
          <w:lang w:val="en-US"/>
        </w:rPr>
        <w:t>- know several creative methods that can be used in health and well-being promotion interventions</w:t>
      </w:r>
    </w:p>
    <w:p w14:paraId="1918158D" w14:textId="77777777" w:rsidR="00FF6397" w:rsidRDefault="00FF6397" w:rsidP="003F533A">
      <w:pPr>
        <w:spacing w:line="276" w:lineRule="auto"/>
        <w:jc w:val="both"/>
        <w:rPr>
          <w:lang w:val="en-US"/>
        </w:rPr>
      </w:pPr>
      <w:r>
        <w:rPr>
          <w:lang w:val="en-US"/>
        </w:rPr>
        <w:t xml:space="preserve">- be able to use creative methods and integrate them in </w:t>
      </w:r>
      <w:r w:rsidRPr="00FF6397">
        <w:rPr>
          <w:lang w:val="en-US"/>
        </w:rPr>
        <w:t>health and well-being promotion interventions</w:t>
      </w:r>
    </w:p>
    <w:p w14:paraId="4BFF904C" w14:textId="77777777" w:rsidR="00FF6397" w:rsidRDefault="00FF6397" w:rsidP="003F533A">
      <w:pPr>
        <w:spacing w:line="276" w:lineRule="auto"/>
        <w:jc w:val="both"/>
        <w:rPr>
          <w:lang w:val="en-US"/>
        </w:rPr>
      </w:pPr>
      <w:r>
        <w:rPr>
          <w:lang w:val="en-US"/>
        </w:rPr>
        <w:t>- be able to work effectively in teams</w:t>
      </w:r>
    </w:p>
    <w:p w14:paraId="264F97CA" w14:textId="77777777" w:rsidR="00FF6397" w:rsidRPr="00FF6397" w:rsidRDefault="00FF6397" w:rsidP="003F533A">
      <w:pPr>
        <w:spacing w:line="276" w:lineRule="auto"/>
        <w:jc w:val="both"/>
        <w:rPr>
          <w:lang w:val="en-US"/>
        </w:rPr>
      </w:pPr>
      <w:r>
        <w:rPr>
          <w:lang w:val="en-US"/>
        </w:rPr>
        <w:t xml:space="preserve">- </w:t>
      </w:r>
      <w:r w:rsidRPr="00FF6397">
        <w:rPr>
          <w:lang w:val="en-US"/>
        </w:rPr>
        <w:t>improve</w:t>
      </w:r>
      <w:r>
        <w:rPr>
          <w:lang w:val="en-US"/>
        </w:rPr>
        <w:t xml:space="preserve"> their communication skills and</w:t>
      </w:r>
      <w:r w:rsidRPr="00FF6397">
        <w:rPr>
          <w:lang w:val="en-US"/>
        </w:rPr>
        <w:t xml:space="preserve"> their English </w:t>
      </w:r>
      <w:r>
        <w:rPr>
          <w:lang w:val="en-US"/>
        </w:rPr>
        <w:t xml:space="preserve">language </w:t>
      </w:r>
      <w:r w:rsidRPr="00FF6397">
        <w:rPr>
          <w:lang w:val="en-US"/>
        </w:rPr>
        <w:t>skills</w:t>
      </w:r>
    </w:p>
    <w:p w14:paraId="567EF49A" w14:textId="77777777" w:rsidR="001A4D68" w:rsidRDefault="001A4D68" w:rsidP="003F533A">
      <w:pPr>
        <w:spacing w:line="276" w:lineRule="auto"/>
        <w:jc w:val="both"/>
        <w:rPr>
          <w:lang w:val="en-US"/>
        </w:rPr>
      </w:pPr>
    </w:p>
    <w:p w14:paraId="5F7A9814" w14:textId="77777777" w:rsidR="00833028" w:rsidRPr="005E55AE" w:rsidRDefault="00833028" w:rsidP="005E55AE">
      <w:pPr>
        <w:pStyle w:val="NoSpacing"/>
        <w:rPr>
          <w:lang w:val="en-US"/>
        </w:rPr>
      </w:pPr>
      <w:r w:rsidRPr="005E55AE">
        <w:rPr>
          <w:lang w:val="en-US"/>
        </w:rPr>
        <w:t>Content</w:t>
      </w:r>
    </w:p>
    <w:p w14:paraId="7D2912D3" w14:textId="77777777" w:rsidR="00833028" w:rsidRDefault="00B915F2" w:rsidP="003F533A">
      <w:pPr>
        <w:spacing w:line="276" w:lineRule="auto"/>
        <w:jc w:val="both"/>
        <w:rPr>
          <w:lang w:val="en-US"/>
        </w:rPr>
      </w:pPr>
      <w:r>
        <w:rPr>
          <w:lang w:val="en-US"/>
        </w:rPr>
        <w:t xml:space="preserve">- </w:t>
      </w:r>
      <w:r w:rsidR="00441A1F" w:rsidRPr="00B915F2">
        <w:rPr>
          <w:lang w:val="en-US"/>
        </w:rPr>
        <w:t xml:space="preserve">Revision of the concept of health </w:t>
      </w:r>
      <w:r w:rsidR="00735D79">
        <w:rPr>
          <w:lang w:val="en-US"/>
        </w:rPr>
        <w:t>promotion and the methodology of</w:t>
      </w:r>
      <w:r w:rsidR="00441A1F" w:rsidRPr="00B915F2">
        <w:rPr>
          <w:lang w:val="en-US"/>
        </w:rPr>
        <w:t xml:space="preserve"> planning, implementing and evaluating health and well-being promotion interventions</w:t>
      </w:r>
    </w:p>
    <w:p w14:paraId="2BC42782" w14:textId="77777777" w:rsidR="00B915F2" w:rsidRDefault="00B915F2" w:rsidP="003F533A">
      <w:pPr>
        <w:spacing w:line="276" w:lineRule="auto"/>
        <w:jc w:val="both"/>
        <w:rPr>
          <w:lang w:val="en-US"/>
        </w:rPr>
      </w:pPr>
      <w:r>
        <w:rPr>
          <w:lang w:val="en-US"/>
        </w:rPr>
        <w:t>- Participatory and co-production approaches in health and well-being promotion</w:t>
      </w:r>
    </w:p>
    <w:p w14:paraId="1F2C6DA3" w14:textId="66620A76" w:rsidR="00735D79" w:rsidRDefault="00B915F2" w:rsidP="003F533A">
      <w:pPr>
        <w:spacing w:line="276" w:lineRule="auto"/>
        <w:jc w:val="both"/>
        <w:rPr>
          <w:lang w:val="en-US"/>
        </w:rPr>
      </w:pPr>
      <w:r>
        <w:rPr>
          <w:lang w:val="en-US"/>
        </w:rPr>
        <w:t>- Creative methods i</w:t>
      </w:r>
      <w:r w:rsidR="00735D79">
        <w:rPr>
          <w:lang w:val="en-US"/>
        </w:rPr>
        <w:t xml:space="preserve">n health and well-being (e.g. </w:t>
      </w:r>
      <w:r w:rsidR="006D68D8">
        <w:rPr>
          <w:lang w:val="en-US"/>
        </w:rPr>
        <w:t xml:space="preserve">(digital) </w:t>
      </w:r>
      <w:r w:rsidR="00735D79">
        <w:rPr>
          <w:lang w:val="en-US"/>
        </w:rPr>
        <w:t>storytelling, visual arts, drama/theatre</w:t>
      </w:r>
      <w:r w:rsidR="00E50370" w:rsidRPr="00E50370">
        <w:rPr>
          <w:lang w:val="en-US"/>
        </w:rPr>
        <w:t xml:space="preserve">, </w:t>
      </w:r>
      <w:r w:rsidR="00E50370">
        <w:rPr>
          <w:lang w:val="en-US"/>
        </w:rPr>
        <w:t>dance</w:t>
      </w:r>
      <w:r w:rsidR="00735D79">
        <w:rPr>
          <w:lang w:val="en-US"/>
        </w:rPr>
        <w:t>)</w:t>
      </w:r>
    </w:p>
    <w:p w14:paraId="0676BDAA" w14:textId="77777777" w:rsidR="00C05229" w:rsidRDefault="00C05229" w:rsidP="003F533A">
      <w:pPr>
        <w:spacing w:line="276" w:lineRule="auto"/>
        <w:jc w:val="both"/>
        <w:rPr>
          <w:lang w:val="en-US"/>
        </w:rPr>
      </w:pPr>
      <w:r>
        <w:rPr>
          <w:lang w:val="en-US"/>
        </w:rPr>
        <w:t>- Creative methods in the evaluation of the health and well-being promotion interventions</w:t>
      </w:r>
    </w:p>
    <w:p w14:paraId="1456E61F" w14:textId="0731D13D" w:rsidR="00441A1F" w:rsidRDefault="00C13370" w:rsidP="003F533A">
      <w:pPr>
        <w:spacing w:line="276" w:lineRule="auto"/>
        <w:jc w:val="both"/>
        <w:rPr>
          <w:lang w:val="en-US"/>
        </w:rPr>
      </w:pPr>
      <w:r>
        <w:rPr>
          <w:lang w:val="en-US"/>
        </w:rPr>
        <w:t xml:space="preserve">- </w:t>
      </w:r>
      <w:r w:rsidR="00735D79">
        <w:rPr>
          <w:lang w:val="en-US"/>
        </w:rPr>
        <w:t>Examples of good practice</w:t>
      </w:r>
      <w:r>
        <w:rPr>
          <w:lang w:val="en-US"/>
        </w:rPr>
        <w:t xml:space="preserve"> </w:t>
      </w:r>
      <w:r w:rsidR="00152A76">
        <w:rPr>
          <w:lang w:val="en-US"/>
        </w:rPr>
        <w:t>among different population target groups</w:t>
      </w:r>
      <w:r w:rsidR="00E50370">
        <w:rPr>
          <w:lang w:val="en-US"/>
        </w:rPr>
        <w:t xml:space="preserve"> </w:t>
      </w:r>
    </w:p>
    <w:p w14:paraId="64C6F20D" w14:textId="77777777" w:rsidR="00735D79" w:rsidRPr="00B71E0F" w:rsidRDefault="00735D79" w:rsidP="003F533A">
      <w:pPr>
        <w:spacing w:line="276" w:lineRule="auto"/>
        <w:jc w:val="both"/>
        <w:rPr>
          <w:lang w:val="en-US"/>
        </w:rPr>
      </w:pPr>
      <w:r>
        <w:rPr>
          <w:lang w:val="en-US"/>
        </w:rPr>
        <w:t xml:space="preserve">- </w:t>
      </w:r>
      <w:r w:rsidR="003F533A">
        <w:rPr>
          <w:lang w:val="en-US"/>
        </w:rPr>
        <w:t>International c</w:t>
      </w:r>
      <w:r>
        <w:rPr>
          <w:lang w:val="en-US"/>
        </w:rPr>
        <w:t xml:space="preserve">ase studies </w:t>
      </w:r>
    </w:p>
    <w:p w14:paraId="3F40BECE" w14:textId="77777777" w:rsidR="00152A76" w:rsidRDefault="00152A76" w:rsidP="003F533A">
      <w:pPr>
        <w:spacing w:line="276" w:lineRule="auto"/>
        <w:jc w:val="both"/>
        <w:rPr>
          <w:b/>
          <w:lang w:val="en-US"/>
        </w:rPr>
      </w:pPr>
    </w:p>
    <w:p w14:paraId="31E4B5C2" w14:textId="77777777" w:rsidR="00C87F71" w:rsidRPr="005E55AE" w:rsidRDefault="00833028" w:rsidP="005E55AE">
      <w:pPr>
        <w:pStyle w:val="NoSpacing"/>
        <w:rPr>
          <w:lang w:val="en-US"/>
        </w:rPr>
      </w:pPr>
      <w:r w:rsidRPr="005E55AE">
        <w:rPr>
          <w:lang w:val="en-US"/>
        </w:rPr>
        <w:t>Learning resources and activities</w:t>
      </w:r>
    </w:p>
    <w:p w14:paraId="0D99252E" w14:textId="16043030" w:rsidR="00E50370" w:rsidRDefault="00E50370" w:rsidP="003F533A">
      <w:pPr>
        <w:spacing w:line="276" w:lineRule="auto"/>
        <w:jc w:val="both"/>
        <w:rPr>
          <w:lang w:val="en-US"/>
        </w:rPr>
      </w:pPr>
      <w:r>
        <w:rPr>
          <w:lang w:val="en-US"/>
        </w:rPr>
        <w:t xml:space="preserve">The following are suggested as learning resources and activities of this course according to each HEI and students’ group needs: </w:t>
      </w:r>
    </w:p>
    <w:p w14:paraId="2E1DB3E9" w14:textId="1D34CC95" w:rsidR="00C87F71" w:rsidRPr="00152A76" w:rsidRDefault="00152A76" w:rsidP="003F533A">
      <w:pPr>
        <w:spacing w:line="276" w:lineRule="auto"/>
        <w:jc w:val="both"/>
        <w:rPr>
          <w:lang w:val="en-US"/>
        </w:rPr>
      </w:pPr>
      <w:r w:rsidRPr="00152A76">
        <w:rPr>
          <w:lang w:val="en-US"/>
        </w:rPr>
        <w:t xml:space="preserve">- Online asynchronous learning platform </w:t>
      </w:r>
      <w:r w:rsidR="00EA460D">
        <w:rPr>
          <w:lang w:val="en-US"/>
        </w:rPr>
        <w:t>- eLearning material for self-study</w:t>
      </w:r>
    </w:p>
    <w:p w14:paraId="448BC2B8" w14:textId="77777777" w:rsidR="00EA460D" w:rsidRDefault="00EA460D" w:rsidP="003F533A">
      <w:pPr>
        <w:spacing w:line="276" w:lineRule="auto"/>
        <w:jc w:val="both"/>
        <w:rPr>
          <w:lang w:val="en-US"/>
        </w:rPr>
      </w:pPr>
      <w:r w:rsidRPr="00EA460D">
        <w:rPr>
          <w:lang w:val="en-US"/>
        </w:rPr>
        <w:t xml:space="preserve">- Lectures  </w:t>
      </w:r>
    </w:p>
    <w:p w14:paraId="40B9D4DA" w14:textId="77777777" w:rsidR="00EA460D" w:rsidRDefault="00152A76" w:rsidP="003F533A">
      <w:pPr>
        <w:spacing w:line="276" w:lineRule="auto"/>
        <w:jc w:val="both"/>
        <w:rPr>
          <w:lang w:val="en-US"/>
        </w:rPr>
      </w:pPr>
      <w:r w:rsidRPr="00152A76">
        <w:rPr>
          <w:lang w:val="en-US"/>
        </w:rPr>
        <w:t xml:space="preserve">- </w:t>
      </w:r>
      <w:r w:rsidR="00EA460D" w:rsidRPr="00EA460D">
        <w:rPr>
          <w:lang w:val="en-US"/>
        </w:rPr>
        <w:t>Group work</w:t>
      </w:r>
      <w:r w:rsidR="00EA460D">
        <w:rPr>
          <w:lang w:val="en-US"/>
        </w:rPr>
        <w:t xml:space="preserve"> </w:t>
      </w:r>
    </w:p>
    <w:p w14:paraId="34277807" w14:textId="2417DB7A" w:rsidR="00EA460D" w:rsidRDefault="00EA460D" w:rsidP="003F533A">
      <w:pPr>
        <w:spacing w:line="276" w:lineRule="auto"/>
        <w:jc w:val="both"/>
        <w:rPr>
          <w:lang w:val="en-US"/>
        </w:rPr>
      </w:pPr>
      <w:r>
        <w:rPr>
          <w:lang w:val="en-US"/>
        </w:rPr>
        <w:t xml:space="preserve">- </w:t>
      </w:r>
      <w:r w:rsidR="00735D79">
        <w:rPr>
          <w:lang w:val="en-US"/>
        </w:rPr>
        <w:t xml:space="preserve">Creative </w:t>
      </w:r>
      <w:r w:rsidR="00C05229">
        <w:rPr>
          <w:lang w:val="en-US"/>
        </w:rPr>
        <w:t>w</w:t>
      </w:r>
      <w:r w:rsidR="00C05229" w:rsidRPr="00EA460D">
        <w:rPr>
          <w:lang w:val="en-US"/>
        </w:rPr>
        <w:t xml:space="preserve">orkshops </w:t>
      </w:r>
      <w:r w:rsidR="00C05229">
        <w:rPr>
          <w:lang w:val="en-US"/>
        </w:rPr>
        <w:t>(</w:t>
      </w:r>
      <w:r w:rsidR="00735D79">
        <w:rPr>
          <w:lang w:val="en-US"/>
        </w:rPr>
        <w:t xml:space="preserve">developing a poem, an art work, </w:t>
      </w:r>
      <w:r w:rsidR="00053B00">
        <w:rPr>
          <w:lang w:val="en-US"/>
        </w:rPr>
        <w:t>etc.</w:t>
      </w:r>
      <w:r w:rsidR="00735D79">
        <w:rPr>
          <w:lang w:val="en-US"/>
        </w:rPr>
        <w:t>)</w:t>
      </w:r>
    </w:p>
    <w:p w14:paraId="69346D4C" w14:textId="77777777" w:rsidR="00152A76" w:rsidRDefault="00EA460D" w:rsidP="003F533A">
      <w:pPr>
        <w:spacing w:line="276" w:lineRule="auto"/>
        <w:jc w:val="both"/>
        <w:rPr>
          <w:lang w:val="en-US"/>
        </w:rPr>
      </w:pPr>
      <w:r>
        <w:rPr>
          <w:lang w:val="en-US"/>
        </w:rPr>
        <w:t xml:space="preserve">- </w:t>
      </w:r>
      <w:r w:rsidRPr="00EA460D">
        <w:rPr>
          <w:lang w:val="en-US"/>
        </w:rPr>
        <w:t>Students</w:t>
      </w:r>
      <w:r>
        <w:rPr>
          <w:lang w:val="en-US"/>
        </w:rPr>
        <w:t>’</w:t>
      </w:r>
      <w:r w:rsidRPr="00EA460D">
        <w:rPr>
          <w:lang w:val="en-US"/>
        </w:rPr>
        <w:t xml:space="preserve"> presentations</w:t>
      </w:r>
    </w:p>
    <w:p w14:paraId="1B51E4C3" w14:textId="77777777" w:rsidR="00B915F2" w:rsidRDefault="00B915F2" w:rsidP="003F533A">
      <w:pPr>
        <w:spacing w:line="276" w:lineRule="auto"/>
        <w:jc w:val="both"/>
        <w:rPr>
          <w:b/>
          <w:lang w:val="en-US"/>
        </w:rPr>
      </w:pPr>
    </w:p>
    <w:p w14:paraId="70933D80" w14:textId="77777777" w:rsidR="005E55AE" w:rsidRDefault="005E55AE" w:rsidP="003F533A">
      <w:pPr>
        <w:spacing w:line="276" w:lineRule="auto"/>
        <w:jc w:val="both"/>
        <w:rPr>
          <w:b/>
          <w:lang w:val="en-US"/>
        </w:rPr>
      </w:pPr>
    </w:p>
    <w:p w14:paraId="5661D0CC" w14:textId="77777777" w:rsidR="005E55AE" w:rsidRDefault="005E55AE" w:rsidP="003F533A">
      <w:pPr>
        <w:spacing w:line="276" w:lineRule="auto"/>
        <w:jc w:val="both"/>
        <w:rPr>
          <w:b/>
          <w:lang w:val="en-US"/>
        </w:rPr>
      </w:pPr>
    </w:p>
    <w:p w14:paraId="24A8914A" w14:textId="77777777" w:rsidR="005E55AE" w:rsidRDefault="005E55AE" w:rsidP="003F533A">
      <w:pPr>
        <w:spacing w:line="276" w:lineRule="auto"/>
        <w:jc w:val="both"/>
        <w:rPr>
          <w:b/>
          <w:lang w:val="en-US"/>
        </w:rPr>
      </w:pPr>
    </w:p>
    <w:p w14:paraId="5E6251C3" w14:textId="77777777" w:rsidR="006316DE" w:rsidRDefault="006316DE" w:rsidP="005E55AE">
      <w:pPr>
        <w:pStyle w:val="NoSpacing"/>
        <w:rPr>
          <w:lang w:val="en-US"/>
        </w:rPr>
      </w:pPr>
    </w:p>
    <w:p w14:paraId="2FC1D2C0" w14:textId="075B8DFA" w:rsidR="001926E3" w:rsidRPr="0004500C" w:rsidRDefault="001926E3" w:rsidP="005E55AE">
      <w:pPr>
        <w:pStyle w:val="NoSpacing"/>
        <w:rPr>
          <w:lang w:val="en-US"/>
        </w:rPr>
      </w:pPr>
      <w:r w:rsidRPr="0004500C">
        <w:rPr>
          <w:lang w:val="en-US"/>
        </w:rPr>
        <w:t>Course evaluation</w:t>
      </w:r>
      <w:r w:rsidRPr="0004500C">
        <w:rPr>
          <w:lang w:val="en-US"/>
        </w:rPr>
        <w:tab/>
      </w:r>
    </w:p>
    <w:p w14:paraId="39BED549" w14:textId="0AB507D1" w:rsidR="00735D79" w:rsidRPr="00C05229" w:rsidRDefault="00735D79" w:rsidP="003F533A">
      <w:pPr>
        <w:spacing w:line="276" w:lineRule="auto"/>
        <w:jc w:val="both"/>
        <w:rPr>
          <w:lang w:val="en-US"/>
        </w:rPr>
      </w:pPr>
      <w:r w:rsidRPr="00C05229">
        <w:rPr>
          <w:lang w:val="en-US"/>
        </w:rPr>
        <w:t xml:space="preserve">Different approaches </w:t>
      </w:r>
      <w:r w:rsidR="00AB4B84">
        <w:rPr>
          <w:lang w:val="en-US"/>
        </w:rPr>
        <w:t xml:space="preserve">can </w:t>
      </w:r>
      <w:r w:rsidRPr="00C05229">
        <w:rPr>
          <w:lang w:val="en-US"/>
        </w:rPr>
        <w:t>be used for the evaluation of th</w:t>
      </w:r>
      <w:r w:rsidR="00AB4B84">
        <w:rPr>
          <w:lang w:val="en-US"/>
        </w:rPr>
        <w:t>is course, such as:</w:t>
      </w:r>
      <w:r w:rsidRPr="00C05229">
        <w:rPr>
          <w:lang w:val="en-US"/>
        </w:rPr>
        <w:t xml:space="preserve"> </w:t>
      </w:r>
    </w:p>
    <w:p w14:paraId="69091A93" w14:textId="77777777" w:rsidR="00735D79" w:rsidRPr="00C05229" w:rsidRDefault="00735D79" w:rsidP="003F533A">
      <w:pPr>
        <w:spacing w:line="276" w:lineRule="auto"/>
        <w:jc w:val="both"/>
        <w:rPr>
          <w:lang w:val="en-US"/>
        </w:rPr>
      </w:pPr>
      <w:r w:rsidRPr="00C05229">
        <w:rPr>
          <w:lang w:val="en-US"/>
        </w:rPr>
        <w:t>- Online questionnaire - feedback (listening to music while filling in the questionnaire)</w:t>
      </w:r>
    </w:p>
    <w:p w14:paraId="1D4D5711" w14:textId="5DF9A2E8" w:rsidR="00735D79" w:rsidRDefault="00735D79" w:rsidP="003F533A">
      <w:pPr>
        <w:spacing w:line="276" w:lineRule="auto"/>
        <w:jc w:val="both"/>
        <w:rPr>
          <w:lang w:val="en-US"/>
        </w:rPr>
      </w:pPr>
      <w:r w:rsidRPr="00C05229">
        <w:rPr>
          <w:lang w:val="en-US"/>
        </w:rPr>
        <w:t xml:space="preserve">- Evaluation café </w:t>
      </w:r>
    </w:p>
    <w:p w14:paraId="4CEB9125" w14:textId="0FEF6CCF" w:rsidR="00AB4B84" w:rsidRPr="00C05229" w:rsidRDefault="00AB4B84" w:rsidP="003F533A">
      <w:pPr>
        <w:spacing w:line="276" w:lineRule="auto"/>
        <w:jc w:val="both"/>
        <w:rPr>
          <w:lang w:val="en-US"/>
        </w:rPr>
      </w:pPr>
      <w:r>
        <w:rPr>
          <w:lang w:val="en-US"/>
        </w:rPr>
        <w:t>- Drawings</w:t>
      </w:r>
    </w:p>
    <w:p w14:paraId="7E064626" w14:textId="77777777" w:rsidR="00735D79" w:rsidRDefault="00735D79" w:rsidP="003F533A">
      <w:pPr>
        <w:spacing w:line="276" w:lineRule="auto"/>
        <w:jc w:val="both"/>
        <w:rPr>
          <w:b/>
          <w:lang w:val="en-US"/>
        </w:rPr>
      </w:pPr>
    </w:p>
    <w:p w14:paraId="51BE1E22" w14:textId="77777777" w:rsidR="00833028" w:rsidRPr="00833028" w:rsidRDefault="00833028" w:rsidP="005E55AE">
      <w:pPr>
        <w:pStyle w:val="NoSpacing"/>
        <w:rPr>
          <w:lang w:val="en-US"/>
        </w:rPr>
      </w:pPr>
      <w:r w:rsidRPr="00833028">
        <w:rPr>
          <w:lang w:val="en-US"/>
        </w:rPr>
        <w:t xml:space="preserve">Students’ evaluation and grading system </w:t>
      </w:r>
    </w:p>
    <w:p w14:paraId="61F8D43A" w14:textId="71DA8106" w:rsidR="005E55AE" w:rsidRPr="005E55AE" w:rsidRDefault="00833028" w:rsidP="003F533A">
      <w:pPr>
        <w:spacing w:line="276" w:lineRule="auto"/>
        <w:jc w:val="both"/>
        <w:rPr>
          <w:lang w:val="en-US"/>
        </w:rPr>
      </w:pPr>
      <w:r w:rsidRPr="00833028">
        <w:rPr>
          <w:lang w:val="en-US"/>
        </w:rPr>
        <w:t xml:space="preserve">Students will be evaluated through </w:t>
      </w:r>
      <w:r w:rsidR="00441A1F">
        <w:rPr>
          <w:lang w:val="en-US"/>
        </w:rPr>
        <w:t xml:space="preserve">their active participation in the course and a </w:t>
      </w:r>
      <w:r w:rsidRPr="00833028">
        <w:rPr>
          <w:lang w:val="en-US"/>
        </w:rPr>
        <w:t>final assignment which will be presented orally in classroom (or virtual classroom) at the end of the course. Grading system is based on pass or fail. This course leads to 2 ECTS.</w:t>
      </w:r>
    </w:p>
    <w:p w14:paraId="512187C0" w14:textId="77777777" w:rsidR="005D78DE" w:rsidRDefault="005D78DE" w:rsidP="005E55AE">
      <w:pPr>
        <w:pStyle w:val="NoSpacing"/>
        <w:rPr>
          <w:lang w:val="en-US"/>
        </w:rPr>
      </w:pPr>
    </w:p>
    <w:p w14:paraId="7BA46A59" w14:textId="6694B0E9" w:rsidR="00833028" w:rsidRDefault="00833028" w:rsidP="005E55AE">
      <w:pPr>
        <w:pStyle w:val="NoSpacing"/>
        <w:rPr>
          <w:lang w:val="en-US"/>
        </w:rPr>
      </w:pPr>
      <w:r w:rsidRPr="00833028">
        <w:rPr>
          <w:lang w:val="en-US"/>
        </w:rPr>
        <w:t>Relevant literature</w:t>
      </w:r>
    </w:p>
    <w:p w14:paraId="2CBC80EC" w14:textId="4CA72E95" w:rsidR="001666F7" w:rsidRPr="00C32692" w:rsidRDefault="001264FE" w:rsidP="0051077B">
      <w:pPr>
        <w:spacing w:after="0" w:line="276" w:lineRule="auto"/>
        <w:ind w:left="720" w:hanging="720"/>
        <w:rPr>
          <w:lang w:val="en-GB"/>
        </w:rPr>
      </w:pPr>
      <w:r w:rsidRPr="001264FE">
        <w:rPr>
          <w:lang w:val="en-US"/>
        </w:rPr>
        <w:t>Alexander</w:t>
      </w:r>
      <w:r w:rsidR="00053B00" w:rsidRPr="00053B00">
        <w:rPr>
          <w:lang w:val="en-GB"/>
        </w:rPr>
        <w:t xml:space="preserve">, </w:t>
      </w:r>
      <w:r w:rsidRPr="001264FE">
        <w:rPr>
          <w:lang w:val="en-US"/>
        </w:rPr>
        <w:t>S</w:t>
      </w:r>
      <w:r w:rsidR="00053B00" w:rsidRPr="00053B00">
        <w:rPr>
          <w:lang w:val="en-GB"/>
        </w:rPr>
        <w:t>.</w:t>
      </w:r>
      <w:r w:rsidRPr="001264FE">
        <w:rPr>
          <w:lang w:val="en-US"/>
        </w:rPr>
        <w:t>A</w:t>
      </w:r>
      <w:r w:rsidR="00053B00" w:rsidRPr="00053B00">
        <w:rPr>
          <w:lang w:val="en-GB"/>
        </w:rPr>
        <w:t>.</w:t>
      </w:r>
      <w:r w:rsidRPr="001264FE">
        <w:rPr>
          <w:lang w:val="en-US"/>
        </w:rPr>
        <w:t>, Frohlich</w:t>
      </w:r>
      <w:r w:rsidR="00053B00" w:rsidRPr="00053B00">
        <w:rPr>
          <w:lang w:val="en-GB"/>
        </w:rPr>
        <w:t>,</w:t>
      </w:r>
      <w:r w:rsidRPr="001264FE">
        <w:rPr>
          <w:lang w:val="en-US"/>
        </w:rPr>
        <w:t xml:space="preserve"> K</w:t>
      </w:r>
      <w:r w:rsidR="00053B00" w:rsidRPr="00053B00">
        <w:rPr>
          <w:lang w:val="en-GB"/>
        </w:rPr>
        <w:t>.</w:t>
      </w:r>
      <w:r w:rsidRPr="001264FE">
        <w:rPr>
          <w:lang w:val="en-US"/>
        </w:rPr>
        <w:t>L</w:t>
      </w:r>
      <w:r w:rsidR="00053B00" w:rsidRPr="00053B00">
        <w:rPr>
          <w:lang w:val="en-GB"/>
        </w:rPr>
        <w:t xml:space="preserve">., &amp; </w:t>
      </w:r>
      <w:r w:rsidRPr="001264FE">
        <w:rPr>
          <w:lang w:val="en-US"/>
        </w:rPr>
        <w:t>Fusco</w:t>
      </w:r>
      <w:r w:rsidR="00053B00" w:rsidRPr="00053B00">
        <w:rPr>
          <w:lang w:val="en-GB"/>
        </w:rPr>
        <w:t>,</w:t>
      </w:r>
      <w:r w:rsidRPr="001264FE">
        <w:rPr>
          <w:lang w:val="en-US"/>
        </w:rPr>
        <w:t xml:space="preserve"> C. </w:t>
      </w:r>
      <w:r>
        <w:rPr>
          <w:lang w:val="en-US"/>
        </w:rPr>
        <w:t xml:space="preserve">(2014). </w:t>
      </w:r>
      <w:r w:rsidRPr="001264FE">
        <w:rPr>
          <w:lang w:val="en-US"/>
        </w:rPr>
        <w:t xml:space="preserve">Playing for health? Revisiting health promotion to examine the emerging public health position on children's play. </w:t>
      </w:r>
      <w:r w:rsidRPr="00053B00">
        <w:rPr>
          <w:i/>
          <w:iCs/>
          <w:lang w:val="en-US"/>
        </w:rPr>
        <w:t>Health Promotion International, 29</w:t>
      </w:r>
      <w:r w:rsidRPr="001264FE">
        <w:rPr>
          <w:lang w:val="en-US"/>
        </w:rPr>
        <w:t>(1)</w:t>
      </w:r>
      <w:r w:rsidR="00053B00" w:rsidRPr="00C32692">
        <w:rPr>
          <w:lang w:val="en-GB"/>
        </w:rPr>
        <w:t xml:space="preserve">, </w:t>
      </w:r>
      <w:r w:rsidRPr="001264FE">
        <w:rPr>
          <w:lang w:val="en-US"/>
        </w:rPr>
        <w:t>155-</w:t>
      </w:r>
      <w:r>
        <w:rPr>
          <w:lang w:val="en-US"/>
        </w:rPr>
        <w:t>1</w:t>
      </w:r>
      <w:r w:rsidRPr="001264FE">
        <w:rPr>
          <w:lang w:val="en-US"/>
        </w:rPr>
        <w:t xml:space="preserve">64. </w:t>
      </w:r>
      <w:hyperlink r:id="rId14" w:history="1">
        <w:r w:rsidR="001666F7" w:rsidRPr="007C3554">
          <w:rPr>
            <w:rStyle w:val="Hyperlink"/>
            <w:lang w:val="en-US"/>
          </w:rPr>
          <w:t>https://doi.org/10.1093/heapro/das042</w:t>
        </w:r>
      </w:hyperlink>
      <w:r w:rsidR="001666F7" w:rsidRPr="00C32692">
        <w:rPr>
          <w:lang w:val="en-GB"/>
        </w:rPr>
        <w:t xml:space="preserve"> </w:t>
      </w:r>
    </w:p>
    <w:p w14:paraId="30C87627" w14:textId="44B2DD99" w:rsidR="001666F7" w:rsidRDefault="000A592F" w:rsidP="0051077B">
      <w:pPr>
        <w:spacing w:after="0" w:line="276" w:lineRule="auto"/>
        <w:ind w:left="720" w:hanging="720"/>
        <w:rPr>
          <w:rFonts w:ascii="Arial" w:hAnsi="Arial" w:cs="Arial"/>
          <w:sz w:val="20"/>
          <w:szCs w:val="20"/>
          <w:lang w:val="en-US"/>
        </w:rPr>
      </w:pPr>
      <w:r w:rsidRPr="000A592F">
        <w:rPr>
          <w:lang w:val="en-US"/>
        </w:rPr>
        <w:t>Bellamy</w:t>
      </w:r>
      <w:r w:rsidR="001666F7" w:rsidRPr="00C32692">
        <w:rPr>
          <w:lang w:val="en-GB"/>
        </w:rPr>
        <w:t>,</w:t>
      </w:r>
      <w:r>
        <w:rPr>
          <w:lang w:val="en-US"/>
        </w:rPr>
        <w:t xml:space="preserve"> R. (2018). </w:t>
      </w:r>
      <w:r w:rsidRPr="000A592F">
        <w:rPr>
          <w:lang w:val="en-US"/>
        </w:rPr>
        <w:t>Creative health promotion methods for young LGBTIQA+ people</w:t>
      </w:r>
      <w:r>
        <w:rPr>
          <w:lang w:val="en-US"/>
        </w:rPr>
        <w:t xml:space="preserve">. </w:t>
      </w:r>
      <w:r w:rsidRPr="001666F7">
        <w:rPr>
          <w:i/>
          <w:iCs/>
          <w:lang w:val="en-US"/>
        </w:rPr>
        <w:t>Health Education Journal, 77</w:t>
      </w:r>
      <w:r>
        <w:rPr>
          <w:lang w:val="en-US"/>
        </w:rPr>
        <w:t>(</w:t>
      </w:r>
      <w:r w:rsidRPr="000A592F">
        <w:rPr>
          <w:lang w:val="en-US"/>
        </w:rPr>
        <w:t>6</w:t>
      </w:r>
      <w:r>
        <w:rPr>
          <w:lang w:val="en-US"/>
        </w:rPr>
        <w:t>)</w:t>
      </w:r>
      <w:r w:rsidR="001666F7" w:rsidRPr="00C32692">
        <w:rPr>
          <w:lang w:val="en-GB"/>
        </w:rPr>
        <w:t>,</w:t>
      </w:r>
      <w:r w:rsidRPr="000A592F">
        <w:rPr>
          <w:lang w:val="en-US"/>
        </w:rPr>
        <w:t xml:space="preserve"> 680-691</w:t>
      </w:r>
      <w:r w:rsidR="00522571">
        <w:rPr>
          <w:lang w:val="en-US"/>
        </w:rPr>
        <w:t xml:space="preserve">. </w:t>
      </w:r>
      <w:hyperlink r:id="rId15" w:history="1">
        <w:r w:rsidR="001666F7" w:rsidRPr="007C3554">
          <w:rPr>
            <w:rStyle w:val="Hyperlink"/>
            <w:rFonts w:ascii="Arial" w:hAnsi="Arial" w:cs="Arial"/>
            <w:sz w:val="20"/>
            <w:szCs w:val="20"/>
            <w:lang w:val="en-US"/>
          </w:rPr>
          <w:t>https://doi.org/10.1177/0017896917753454</w:t>
        </w:r>
      </w:hyperlink>
    </w:p>
    <w:p w14:paraId="133AFE23" w14:textId="245AC52B" w:rsidR="001666F7" w:rsidRDefault="00D36765" w:rsidP="0051077B">
      <w:pPr>
        <w:spacing w:after="0" w:line="276" w:lineRule="auto"/>
        <w:ind w:left="720" w:hanging="720"/>
        <w:rPr>
          <w:rFonts w:cs="Arial"/>
          <w:lang w:val="en-GB"/>
        </w:rPr>
      </w:pPr>
      <w:r w:rsidRPr="00D36765">
        <w:rPr>
          <w:rFonts w:cs="Arial"/>
          <w:lang w:val="en-US"/>
        </w:rPr>
        <w:t>Bungay, H.</w:t>
      </w:r>
      <w:r w:rsidR="001666F7" w:rsidRPr="00C32692">
        <w:rPr>
          <w:rFonts w:cs="Arial"/>
          <w:lang w:val="en-GB"/>
        </w:rPr>
        <w:t xml:space="preserve">, </w:t>
      </w:r>
      <w:r w:rsidR="00EE5C31" w:rsidRPr="00C32692">
        <w:rPr>
          <w:rFonts w:cs="Arial"/>
          <w:lang w:val="en-GB"/>
        </w:rPr>
        <w:t xml:space="preserve">&amp; </w:t>
      </w:r>
      <w:r w:rsidR="00EE5C31" w:rsidRPr="00D36765">
        <w:rPr>
          <w:rFonts w:cs="Arial"/>
          <w:lang w:val="en-US"/>
        </w:rPr>
        <w:t>Burrows</w:t>
      </w:r>
      <w:r w:rsidRPr="00D36765">
        <w:rPr>
          <w:rFonts w:cs="Arial"/>
          <w:lang w:val="en-US"/>
        </w:rPr>
        <w:t xml:space="preserve">, T. (2013). The effects of participating in creative activities on the health and well-being of children and young people: a rapid review of the literature. </w:t>
      </w:r>
      <w:r w:rsidRPr="001666F7">
        <w:rPr>
          <w:rFonts w:cs="Arial"/>
          <w:i/>
          <w:iCs/>
          <w:lang w:val="en-US"/>
        </w:rPr>
        <w:t>Royal Society of Public Health</w:t>
      </w:r>
      <w:r w:rsidR="001666F7" w:rsidRPr="001666F7">
        <w:rPr>
          <w:rFonts w:cs="Arial"/>
          <w:i/>
          <w:iCs/>
          <w:lang w:val="en-GB"/>
        </w:rPr>
        <w:t xml:space="preserve">, </w:t>
      </w:r>
      <w:r w:rsidRPr="001666F7">
        <w:rPr>
          <w:rFonts w:cs="Arial"/>
          <w:i/>
          <w:iCs/>
          <w:lang w:val="en-US"/>
        </w:rPr>
        <w:t>133</w:t>
      </w:r>
      <w:r>
        <w:rPr>
          <w:rFonts w:cs="Arial"/>
          <w:lang w:val="en-US"/>
        </w:rPr>
        <w:t>(</w:t>
      </w:r>
      <w:r w:rsidRPr="00D36765">
        <w:rPr>
          <w:rFonts w:cs="Arial"/>
          <w:lang w:val="en-US"/>
        </w:rPr>
        <w:t>1</w:t>
      </w:r>
      <w:r>
        <w:rPr>
          <w:rFonts w:cs="Arial"/>
          <w:lang w:val="en-US"/>
        </w:rPr>
        <w:t>)</w:t>
      </w:r>
      <w:r w:rsidR="001666F7" w:rsidRPr="001666F7">
        <w:rPr>
          <w:rFonts w:cs="Arial"/>
          <w:lang w:val="en-GB"/>
        </w:rPr>
        <w:t>, 44-52</w:t>
      </w:r>
      <w:r w:rsidRPr="00D36765">
        <w:rPr>
          <w:rFonts w:cs="Arial"/>
          <w:lang w:val="en-US"/>
        </w:rPr>
        <w:t>.</w:t>
      </w:r>
      <w:r w:rsidRPr="00D36765">
        <w:rPr>
          <w:rFonts w:cs="HelveticaNeue-Medium"/>
          <w:color w:val="808080"/>
          <w:lang w:val="en-US"/>
        </w:rPr>
        <w:t xml:space="preserve"> </w:t>
      </w:r>
      <w:hyperlink r:id="rId16" w:history="1">
        <w:r w:rsidR="001666F7" w:rsidRPr="007C3554">
          <w:rPr>
            <w:rStyle w:val="Hyperlink"/>
            <w:rFonts w:cs="Arial"/>
            <w:lang w:val="en-US"/>
          </w:rPr>
          <w:t>https://doi.org/10.1177/1757913912466946</w:t>
        </w:r>
      </w:hyperlink>
      <w:r w:rsidR="001666F7" w:rsidRPr="001666F7">
        <w:rPr>
          <w:rFonts w:cs="Arial"/>
          <w:lang w:val="en-GB"/>
        </w:rPr>
        <w:t xml:space="preserve"> </w:t>
      </w:r>
    </w:p>
    <w:p w14:paraId="033FCBD9" w14:textId="293E79E3" w:rsidR="001666F7" w:rsidRDefault="001F38B0" w:rsidP="0051077B">
      <w:pPr>
        <w:spacing w:after="0" w:line="276" w:lineRule="auto"/>
        <w:ind w:left="720" w:hanging="720"/>
        <w:rPr>
          <w:rFonts w:ascii="Arial" w:hAnsi="Arial" w:cs="Arial"/>
          <w:sz w:val="20"/>
          <w:szCs w:val="20"/>
          <w:lang w:val="en-GB"/>
        </w:rPr>
      </w:pPr>
      <w:r w:rsidRPr="001F38B0">
        <w:rPr>
          <w:lang w:val="en-US"/>
        </w:rPr>
        <w:t>Bunn</w:t>
      </w:r>
      <w:r w:rsidR="001666F7" w:rsidRPr="001666F7">
        <w:rPr>
          <w:lang w:val="en-GB"/>
        </w:rPr>
        <w:t>,</w:t>
      </w:r>
      <w:r w:rsidRPr="001F38B0">
        <w:rPr>
          <w:lang w:val="en-US"/>
        </w:rPr>
        <w:t xml:space="preserve"> C</w:t>
      </w:r>
      <w:r w:rsidR="001666F7" w:rsidRPr="001666F7">
        <w:rPr>
          <w:lang w:val="en-GB"/>
        </w:rPr>
        <w:t>.</w:t>
      </w:r>
      <w:r w:rsidRPr="001F38B0">
        <w:rPr>
          <w:lang w:val="en-US"/>
        </w:rPr>
        <w:t>, Kalinga</w:t>
      </w:r>
      <w:r w:rsidR="001666F7" w:rsidRPr="001666F7">
        <w:rPr>
          <w:lang w:val="en-GB"/>
        </w:rPr>
        <w:t>,</w:t>
      </w:r>
      <w:r w:rsidRPr="001F38B0">
        <w:rPr>
          <w:lang w:val="en-US"/>
        </w:rPr>
        <w:t xml:space="preserve"> C</w:t>
      </w:r>
      <w:r w:rsidR="001666F7" w:rsidRPr="001666F7">
        <w:rPr>
          <w:lang w:val="en-GB"/>
        </w:rPr>
        <w:t>.</w:t>
      </w:r>
      <w:r w:rsidRPr="001F38B0">
        <w:rPr>
          <w:lang w:val="en-US"/>
        </w:rPr>
        <w:t>, Mtema</w:t>
      </w:r>
      <w:r w:rsidR="001666F7" w:rsidRPr="001666F7">
        <w:rPr>
          <w:lang w:val="en-GB"/>
        </w:rPr>
        <w:t>,</w:t>
      </w:r>
      <w:r w:rsidRPr="001F38B0">
        <w:rPr>
          <w:lang w:val="en-US"/>
        </w:rPr>
        <w:t xml:space="preserve"> </w:t>
      </w:r>
      <w:r w:rsidR="005A6A1F">
        <w:rPr>
          <w:lang w:val="en-US"/>
        </w:rPr>
        <w:t>O.</w:t>
      </w:r>
      <w:r w:rsidRPr="001F38B0">
        <w:rPr>
          <w:lang w:val="en-US"/>
        </w:rPr>
        <w:t xml:space="preserve">, </w:t>
      </w:r>
      <w:r w:rsidR="005A6A1F" w:rsidRPr="005A6A1F">
        <w:rPr>
          <w:lang w:val="en-US"/>
        </w:rPr>
        <w:t>Abdulla</w:t>
      </w:r>
      <w:r w:rsidR="001666F7" w:rsidRPr="001666F7">
        <w:rPr>
          <w:lang w:val="en-GB"/>
        </w:rPr>
        <w:t>,</w:t>
      </w:r>
      <w:r w:rsidR="005A6A1F" w:rsidRPr="005A6A1F">
        <w:rPr>
          <w:lang w:val="en-US"/>
        </w:rPr>
        <w:t xml:space="preserve"> </w:t>
      </w:r>
      <w:r w:rsidR="005A6A1F">
        <w:rPr>
          <w:lang w:val="en-US"/>
        </w:rPr>
        <w:t>S.</w:t>
      </w:r>
      <w:r w:rsidR="005A6A1F" w:rsidRPr="005A6A1F">
        <w:rPr>
          <w:lang w:val="en-US"/>
        </w:rPr>
        <w:t>, Dillip</w:t>
      </w:r>
      <w:r w:rsidR="001666F7" w:rsidRPr="001666F7">
        <w:rPr>
          <w:lang w:val="en-GB"/>
        </w:rPr>
        <w:t>,</w:t>
      </w:r>
      <w:r w:rsidR="005A6A1F">
        <w:rPr>
          <w:lang w:val="en-US"/>
        </w:rPr>
        <w:t xml:space="preserve"> A.</w:t>
      </w:r>
      <w:r w:rsidR="005A6A1F" w:rsidRPr="005A6A1F">
        <w:rPr>
          <w:lang w:val="en-US"/>
        </w:rPr>
        <w:t>, Lwanda</w:t>
      </w:r>
      <w:r w:rsidR="001666F7" w:rsidRPr="001666F7">
        <w:rPr>
          <w:lang w:val="en-GB"/>
        </w:rPr>
        <w:t>,</w:t>
      </w:r>
      <w:r w:rsidR="005A6A1F">
        <w:rPr>
          <w:lang w:val="en-US"/>
        </w:rPr>
        <w:t xml:space="preserve"> J.</w:t>
      </w:r>
      <w:r w:rsidR="005A6A1F" w:rsidRPr="005A6A1F">
        <w:rPr>
          <w:lang w:val="en-US"/>
        </w:rPr>
        <w:t>, Mtenga</w:t>
      </w:r>
      <w:r w:rsidR="001666F7" w:rsidRPr="001666F7">
        <w:rPr>
          <w:lang w:val="en-GB"/>
        </w:rPr>
        <w:t>,</w:t>
      </w:r>
      <w:r w:rsidR="005A6A1F">
        <w:rPr>
          <w:lang w:val="en-US"/>
        </w:rPr>
        <w:t xml:space="preserve"> S.M.</w:t>
      </w:r>
      <w:r w:rsidR="005A6A1F" w:rsidRPr="005A6A1F">
        <w:rPr>
          <w:lang w:val="en-US"/>
        </w:rPr>
        <w:t>, Sharp</w:t>
      </w:r>
      <w:r w:rsidR="001666F7" w:rsidRPr="001666F7">
        <w:rPr>
          <w:lang w:val="en-GB"/>
        </w:rPr>
        <w:t>,</w:t>
      </w:r>
      <w:r w:rsidR="005A6A1F">
        <w:rPr>
          <w:lang w:val="en-US"/>
        </w:rPr>
        <w:t xml:space="preserve"> J.</w:t>
      </w:r>
      <w:r w:rsidR="005A6A1F" w:rsidRPr="005A6A1F">
        <w:rPr>
          <w:lang w:val="en-US"/>
        </w:rPr>
        <w:t>, Strachan</w:t>
      </w:r>
      <w:r w:rsidR="001666F7" w:rsidRPr="001666F7">
        <w:rPr>
          <w:lang w:val="en-GB"/>
        </w:rPr>
        <w:t>,</w:t>
      </w:r>
      <w:r w:rsidR="005A6A1F">
        <w:rPr>
          <w:lang w:val="en-US"/>
        </w:rPr>
        <w:t xml:space="preserve"> Z.</w:t>
      </w:r>
      <w:r w:rsidR="005A6A1F" w:rsidRPr="005A6A1F">
        <w:rPr>
          <w:lang w:val="en-US"/>
        </w:rPr>
        <w:t>,</w:t>
      </w:r>
      <w:r w:rsidR="001666F7" w:rsidRPr="001666F7">
        <w:rPr>
          <w:lang w:val="en-GB"/>
        </w:rPr>
        <w:t xml:space="preserve"> &amp;</w:t>
      </w:r>
      <w:r w:rsidR="005A6A1F" w:rsidRPr="005A6A1F">
        <w:rPr>
          <w:lang w:val="en-US"/>
        </w:rPr>
        <w:t xml:space="preserve"> Gray</w:t>
      </w:r>
      <w:r w:rsidR="001666F7" w:rsidRPr="001666F7">
        <w:rPr>
          <w:lang w:val="en-GB"/>
        </w:rPr>
        <w:t>,</w:t>
      </w:r>
      <w:r w:rsidR="005A6A1F">
        <w:rPr>
          <w:lang w:val="en-US"/>
        </w:rPr>
        <w:t xml:space="preserve"> C.M.</w:t>
      </w:r>
      <w:r w:rsidR="00E439F0" w:rsidRPr="00E439F0">
        <w:rPr>
          <w:lang w:val="en-US"/>
        </w:rPr>
        <w:t xml:space="preserve"> (2020). </w:t>
      </w:r>
      <w:r w:rsidRPr="001F38B0">
        <w:rPr>
          <w:lang w:val="en-US"/>
        </w:rPr>
        <w:t>Arts-based approaches to promoting health in sub-Saharan Africa: a scoping review</w:t>
      </w:r>
      <w:r w:rsidR="00E439F0" w:rsidRPr="00E439F0">
        <w:rPr>
          <w:lang w:val="en-US"/>
        </w:rPr>
        <w:t xml:space="preserve">. </w:t>
      </w:r>
      <w:r w:rsidRPr="001666F7">
        <w:rPr>
          <w:i/>
          <w:iCs/>
          <w:lang w:val="en-US"/>
        </w:rPr>
        <w:t>BMJ Global Health</w:t>
      </w:r>
      <w:r w:rsidR="00E439F0" w:rsidRPr="001666F7">
        <w:rPr>
          <w:i/>
          <w:iCs/>
          <w:lang w:val="en-US"/>
        </w:rPr>
        <w:t xml:space="preserve">, </w:t>
      </w:r>
      <w:r w:rsidRPr="001666F7">
        <w:rPr>
          <w:i/>
          <w:iCs/>
          <w:lang w:val="en-US"/>
        </w:rPr>
        <w:t>5</w:t>
      </w:r>
      <w:r w:rsidR="001666F7" w:rsidRPr="001666F7">
        <w:rPr>
          <w:lang w:val="en-GB"/>
        </w:rPr>
        <w:t xml:space="preserve">, </w:t>
      </w:r>
      <w:r w:rsidRPr="001F38B0">
        <w:rPr>
          <w:lang w:val="en-US"/>
        </w:rPr>
        <w:t>e001987.</w:t>
      </w:r>
      <w:r w:rsidR="001666F7" w:rsidRPr="001666F7">
        <w:rPr>
          <w:lang w:val="en-GB"/>
        </w:rPr>
        <w:t xml:space="preserve"> </w:t>
      </w:r>
      <w:hyperlink r:id="rId17" w:history="1">
        <w:r w:rsidR="001666F7" w:rsidRPr="001666F7">
          <w:rPr>
            <w:rStyle w:val="Hyperlink"/>
            <w:lang w:val="en-GB"/>
          </w:rPr>
          <w:t>https://doi.org/10.1136/bmjgh-2019-001987</w:t>
        </w:r>
      </w:hyperlink>
      <w:r w:rsidR="001666F7" w:rsidRPr="001666F7">
        <w:rPr>
          <w:lang w:val="en-GB"/>
        </w:rPr>
        <w:t xml:space="preserve"> </w:t>
      </w:r>
    </w:p>
    <w:p w14:paraId="7E512826" w14:textId="77777777" w:rsidR="0051077B" w:rsidRPr="00C32692" w:rsidRDefault="001264FE" w:rsidP="0051077B">
      <w:pPr>
        <w:spacing w:after="0" w:line="276" w:lineRule="auto"/>
        <w:ind w:left="720" w:hanging="720"/>
        <w:rPr>
          <w:lang w:val="en-GB"/>
        </w:rPr>
      </w:pPr>
      <w:r w:rsidRPr="001264FE">
        <w:rPr>
          <w:lang w:val="en-US"/>
        </w:rPr>
        <w:t>Cameron</w:t>
      </w:r>
      <w:r w:rsidR="001666F7" w:rsidRPr="001666F7">
        <w:rPr>
          <w:lang w:val="en-GB"/>
        </w:rPr>
        <w:t>,</w:t>
      </w:r>
      <w:r w:rsidRPr="001264FE">
        <w:rPr>
          <w:lang w:val="en-US"/>
        </w:rPr>
        <w:t xml:space="preserve"> M</w:t>
      </w:r>
      <w:r>
        <w:rPr>
          <w:lang w:val="en-US"/>
        </w:rPr>
        <w:t>.</w:t>
      </w:r>
      <w:r w:rsidRPr="001264FE">
        <w:rPr>
          <w:lang w:val="en-US"/>
        </w:rPr>
        <w:t>, Crane</w:t>
      </w:r>
      <w:r w:rsidR="001666F7" w:rsidRPr="001666F7">
        <w:rPr>
          <w:lang w:val="en-GB"/>
        </w:rPr>
        <w:t>,</w:t>
      </w:r>
      <w:r w:rsidRPr="001264FE">
        <w:rPr>
          <w:lang w:val="en-US"/>
        </w:rPr>
        <w:t xml:space="preserve"> N</w:t>
      </w:r>
      <w:r>
        <w:rPr>
          <w:lang w:val="en-US"/>
        </w:rPr>
        <w:t>.</w:t>
      </w:r>
      <w:r w:rsidRPr="001264FE">
        <w:rPr>
          <w:lang w:val="en-US"/>
        </w:rPr>
        <w:t>, Ings</w:t>
      </w:r>
      <w:r w:rsidR="001666F7" w:rsidRPr="001666F7">
        <w:rPr>
          <w:lang w:val="en-GB"/>
        </w:rPr>
        <w:t>,</w:t>
      </w:r>
      <w:r w:rsidRPr="001264FE">
        <w:rPr>
          <w:lang w:val="en-US"/>
        </w:rPr>
        <w:t xml:space="preserve"> R</w:t>
      </w:r>
      <w:r>
        <w:rPr>
          <w:lang w:val="en-US"/>
        </w:rPr>
        <w:t>.</w:t>
      </w:r>
      <w:r w:rsidRPr="001264FE">
        <w:rPr>
          <w:lang w:val="en-US"/>
        </w:rPr>
        <w:t>,</w:t>
      </w:r>
      <w:r w:rsidR="001666F7" w:rsidRPr="001666F7">
        <w:rPr>
          <w:lang w:val="en-GB"/>
        </w:rPr>
        <w:t xml:space="preserve"> &amp;</w:t>
      </w:r>
      <w:r w:rsidRPr="001264FE">
        <w:rPr>
          <w:lang w:val="en-US"/>
        </w:rPr>
        <w:t xml:space="preserve"> Taylor</w:t>
      </w:r>
      <w:r w:rsidR="001666F7" w:rsidRPr="001666F7">
        <w:rPr>
          <w:lang w:val="en-GB"/>
        </w:rPr>
        <w:t>,</w:t>
      </w:r>
      <w:r w:rsidRPr="001264FE">
        <w:rPr>
          <w:lang w:val="en-US"/>
        </w:rPr>
        <w:t xml:space="preserve"> K.</w:t>
      </w:r>
      <w:r>
        <w:rPr>
          <w:lang w:val="en-US"/>
        </w:rPr>
        <w:t xml:space="preserve"> (2013).</w:t>
      </w:r>
      <w:r w:rsidRPr="001264FE">
        <w:rPr>
          <w:lang w:val="en-US"/>
        </w:rPr>
        <w:t xml:space="preserve"> Promoting well-being through creativity: how arts and public health can</w:t>
      </w:r>
      <w:r w:rsidR="00684EC9">
        <w:rPr>
          <w:lang w:val="en-US"/>
        </w:rPr>
        <w:t xml:space="preserve"> learn from each other. </w:t>
      </w:r>
      <w:r w:rsidR="00684EC9" w:rsidRPr="001666F7">
        <w:rPr>
          <w:i/>
          <w:iCs/>
          <w:lang w:val="en-US"/>
        </w:rPr>
        <w:t xml:space="preserve">Royal Society of </w:t>
      </w:r>
      <w:r w:rsidRPr="001666F7">
        <w:rPr>
          <w:i/>
          <w:iCs/>
          <w:lang w:val="en-US"/>
        </w:rPr>
        <w:t>Public Health, 133</w:t>
      </w:r>
      <w:r w:rsidRPr="001264FE">
        <w:rPr>
          <w:lang w:val="en-US"/>
        </w:rPr>
        <w:t>(1)</w:t>
      </w:r>
      <w:r w:rsidR="001666F7" w:rsidRPr="00C32692">
        <w:rPr>
          <w:lang w:val="en-GB"/>
        </w:rPr>
        <w:t xml:space="preserve">, </w:t>
      </w:r>
      <w:r w:rsidRPr="001264FE">
        <w:rPr>
          <w:lang w:val="en-US"/>
        </w:rPr>
        <w:t>52-</w:t>
      </w:r>
      <w:r>
        <w:rPr>
          <w:lang w:val="en-US"/>
        </w:rPr>
        <w:t>5</w:t>
      </w:r>
      <w:r w:rsidRPr="001264FE">
        <w:rPr>
          <w:lang w:val="en-US"/>
        </w:rPr>
        <w:t>9</w:t>
      </w:r>
      <w:r w:rsidR="001666F7" w:rsidRPr="00C32692">
        <w:rPr>
          <w:lang w:val="en-GB"/>
        </w:rPr>
        <w:t xml:space="preserve">. </w:t>
      </w:r>
      <w:hyperlink r:id="rId18" w:history="1">
        <w:r w:rsidR="001666F7" w:rsidRPr="00C32692">
          <w:rPr>
            <w:rStyle w:val="Hyperlink"/>
            <w:lang w:val="en-GB"/>
          </w:rPr>
          <w:t>https://doi.org/10.1177/1757913912466951</w:t>
        </w:r>
      </w:hyperlink>
      <w:r w:rsidR="001666F7" w:rsidRPr="00C32692">
        <w:rPr>
          <w:lang w:val="en-GB"/>
        </w:rPr>
        <w:t xml:space="preserve"> </w:t>
      </w:r>
    </w:p>
    <w:p w14:paraId="7F0689EF" w14:textId="562C813B" w:rsidR="0051077B" w:rsidRDefault="00D850A5" w:rsidP="005E55AE">
      <w:pPr>
        <w:spacing w:after="0" w:line="276" w:lineRule="auto"/>
        <w:ind w:left="720" w:hanging="720"/>
        <w:rPr>
          <w:rFonts w:cs="Arial"/>
          <w:color w:val="000000"/>
          <w:lang w:val="en-GB"/>
        </w:rPr>
      </w:pPr>
      <w:r w:rsidRPr="00D850A5">
        <w:rPr>
          <w:rFonts w:cs="Arial"/>
          <w:color w:val="000000"/>
          <w:lang w:val="en-US"/>
        </w:rPr>
        <w:t>Clift, S. (2012).</w:t>
      </w:r>
      <w:r w:rsidRPr="00D850A5">
        <w:rPr>
          <w:rFonts w:cs="Arial"/>
          <w:b/>
          <w:color w:val="000000"/>
          <w:lang w:val="en-US"/>
        </w:rPr>
        <w:t xml:space="preserve"> </w:t>
      </w:r>
      <w:r w:rsidRPr="00D850A5">
        <w:rPr>
          <w:rFonts w:cs="Arial"/>
          <w:color w:val="000000"/>
          <w:lang w:val="en-US"/>
        </w:rPr>
        <w:t xml:space="preserve">Creative arts as a public health resource: moving from </w:t>
      </w:r>
      <w:r w:rsidR="00EE5C31" w:rsidRPr="00D850A5">
        <w:rPr>
          <w:rFonts w:cs="Arial"/>
          <w:color w:val="000000"/>
          <w:lang w:val="en-US"/>
        </w:rPr>
        <w:t>practice-based</w:t>
      </w:r>
      <w:r w:rsidRPr="00D850A5">
        <w:rPr>
          <w:rFonts w:cs="Arial"/>
          <w:color w:val="000000"/>
          <w:lang w:val="en-US"/>
        </w:rPr>
        <w:t xml:space="preserve"> research to evidence-based practice. </w:t>
      </w:r>
      <w:r w:rsidRPr="0051077B">
        <w:rPr>
          <w:rFonts w:cs="Arial"/>
          <w:i/>
          <w:iCs/>
          <w:color w:val="000000"/>
          <w:lang w:val="en-US"/>
        </w:rPr>
        <w:t xml:space="preserve">Royal Society of Public Health, </w:t>
      </w:r>
      <w:r w:rsidR="0051077B" w:rsidRPr="0051077B">
        <w:rPr>
          <w:rFonts w:cs="Arial"/>
          <w:i/>
          <w:iCs/>
          <w:color w:val="000000"/>
          <w:lang w:val="en-US"/>
        </w:rPr>
        <w:t>132</w:t>
      </w:r>
      <w:r w:rsidR="0051077B" w:rsidRPr="0051077B">
        <w:rPr>
          <w:rFonts w:cs="Arial"/>
          <w:color w:val="000000"/>
          <w:lang w:val="en-US"/>
        </w:rPr>
        <w:t>(3)</w:t>
      </w:r>
      <w:r w:rsidR="0051077B" w:rsidRPr="00C32692">
        <w:rPr>
          <w:rFonts w:cs="Arial"/>
          <w:color w:val="000000"/>
          <w:lang w:val="en-GB"/>
        </w:rPr>
        <w:t xml:space="preserve">, </w:t>
      </w:r>
      <w:r w:rsidR="0051077B" w:rsidRPr="0051077B">
        <w:rPr>
          <w:rFonts w:cs="Arial"/>
          <w:color w:val="000000"/>
          <w:lang w:val="en-US"/>
        </w:rPr>
        <w:t>120-</w:t>
      </w:r>
      <w:r w:rsidR="0051077B" w:rsidRPr="00C32692">
        <w:rPr>
          <w:rFonts w:cs="Arial"/>
          <w:color w:val="000000"/>
          <w:lang w:val="en-GB"/>
        </w:rPr>
        <w:t xml:space="preserve">127. </w:t>
      </w:r>
      <w:hyperlink r:id="rId19" w:history="1">
        <w:r w:rsidR="0051077B" w:rsidRPr="0051077B">
          <w:rPr>
            <w:rStyle w:val="Hyperlink"/>
            <w:rFonts w:cs="Arial"/>
            <w:lang w:val="en-GB"/>
          </w:rPr>
          <w:t>https://doi.org/10.1177/1757913912442269</w:t>
        </w:r>
      </w:hyperlink>
      <w:r w:rsidR="0051077B" w:rsidRPr="0051077B">
        <w:rPr>
          <w:rFonts w:cs="Arial"/>
          <w:color w:val="000000"/>
          <w:lang w:val="en-GB"/>
        </w:rPr>
        <w:t xml:space="preserve"> </w:t>
      </w:r>
    </w:p>
    <w:p w14:paraId="21921F78" w14:textId="5CD6CE35" w:rsidR="0051077B" w:rsidRPr="0051077B" w:rsidRDefault="001264FE" w:rsidP="0051077B">
      <w:pPr>
        <w:spacing w:after="0" w:line="276" w:lineRule="auto"/>
        <w:ind w:left="720" w:hanging="720"/>
        <w:rPr>
          <w:rFonts w:ascii="Arial" w:hAnsi="Arial" w:cs="Arial"/>
          <w:sz w:val="20"/>
          <w:szCs w:val="20"/>
          <w:lang w:val="en-GB"/>
        </w:rPr>
      </w:pPr>
      <w:r w:rsidRPr="001264FE">
        <w:rPr>
          <w:lang w:val="en-US"/>
        </w:rPr>
        <w:t>Darewych</w:t>
      </w:r>
      <w:r w:rsidR="0051077B" w:rsidRPr="0051077B">
        <w:rPr>
          <w:lang w:val="en-GB"/>
        </w:rPr>
        <w:t>,</w:t>
      </w:r>
      <w:r w:rsidRPr="001264FE">
        <w:rPr>
          <w:lang w:val="en-US"/>
        </w:rPr>
        <w:t xml:space="preserve"> </w:t>
      </w:r>
      <w:r>
        <w:rPr>
          <w:lang w:val="en-US"/>
        </w:rPr>
        <w:t>O.H.</w:t>
      </w:r>
      <w:r w:rsidR="0051077B" w:rsidRPr="0051077B">
        <w:rPr>
          <w:lang w:val="en-GB"/>
        </w:rPr>
        <w:t xml:space="preserve">, </w:t>
      </w:r>
      <w:r w:rsidRPr="001264FE">
        <w:rPr>
          <w:lang w:val="en-US"/>
        </w:rPr>
        <w:t>&amp; Bowers</w:t>
      </w:r>
      <w:r w:rsidR="0051077B" w:rsidRPr="0051077B">
        <w:rPr>
          <w:lang w:val="en-GB"/>
        </w:rPr>
        <w:t xml:space="preserve">, </w:t>
      </w:r>
      <w:r>
        <w:rPr>
          <w:lang w:val="en-US"/>
        </w:rPr>
        <w:t xml:space="preserve">N.R. </w:t>
      </w:r>
      <w:r w:rsidRPr="001264FE">
        <w:rPr>
          <w:lang w:val="en-US"/>
        </w:rPr>
        <w:t>(2018)</w:t>
      </w:r>
      <w:r w:rsidR="0051077B" w:rsidRPr="0051077B">
        <w:rPr>
          <w:lang w:val="en-GB"/>
        </w:rPr>
        <w:t>.</w:t>
      </w:r>
      <w:r w:rsidRPr="001264FE">
        <w:rPr>
          <w:lang w:val="en-US"/>
        </w:rPr>
        <w:t xml:space="preserve"> Positive arts</w:t>
      </w:r>
      <w:r>
        <w:rPr>
          <w:lang w:val="en-US"/>
        </w:rPr>
        <w:t xml:space="preserve"> </w:t>
      </w:r>
      <w:r w:rsidRPr="001264FE">
        <w:rPr>
          <w:lang w:val="en-US"/>
        </w:rPr>
        <w:t>interventions: creative clinical tools promoting psychological well-being</w:t>
      </w:r>
      <w:r w:rsidR="0051077B" w:rsidRPr="0051077B">
        <w:rPr>
          <w:lang w:val="en-GB"/>
        </w:rPr>
        <w:t>.</w:t>
      </w:r>
      <w:r w:rsidRPr="001264FE">
        <w:rPr>
          <w:lang w:val="en-US"/>
        </w:rPr>
        <w:t xml:space="preserve"> </w:t>
      </w:r>
      <w:r w:rsidRPr="0051077B">
        <w:rPr>
          <w:i/>
          <w:iCs/>
          <w:lang w:val="en-US"/>
        </w:rPr>
        <w:t>International Journal of Art Therapy, 23</w:t>
      </w:r>
      <w:r w:rsidR="0051077B" w:rsidRPr="00C32692">
        <w:rPr>
          <w:lang w:val="en-GB"/>
        </w:rPr>
        <w:t>(</w:t>
      </w:r>
      <w:r w:rsidRPr="001264FE">
        <w:rPr>
          <w:lang w:val="en-US"/>
        </w:rPr>
        <w:t>2</w:t>
      </w:r>
      <w:r w:rsidR="0051077B" w:rsidRPr="00C32692">
        <w:rPr>
          <w:lang w:val="en-GB"/>
        </w:rPr>
        <w:t>)</w:t>
      </w:r>
      <w:r w:rsidRPr="001264FE">
        <w:rPr>
          <w:lang w:val="en-US"/>
        </w:rPr>
        <w:t>, 62</w:t>
      </w:r>
      <w:r w:rsidR="0051077B" w:rsidRPr="00C32692">
        <w:rPr>
          <w:lang w:val="en-GB"/>
        </w:rPr>
        <w:t>-</w:t>
      </w:r>
      <w:r w:rsidRPr="001264FE">
        <w:rPr>
          <w:lang w:val="en-US"/>
        </w:rPr>
        <w:t>69</w:t>
      </w:r>
      <w:r w:rsidR="0051077B" w:rsidRPr="00C32692">
        <w:rPr>
          <w:lang w:val="en-GB"/>
        </w:rPr>
        <w:t xml:space="preserve">. </w:t>
      </w:r>
      <w:hyperlink r:id="rId20" w:history="1">
        <w:r w:rsidR="0051077B" w:rsidRPr="007C3554">
          <w:rPr>
            <w:rStyle w:val="Hyperlink"/>
            <w:lang w:val="en-US"/>
          </w:rPr>
          <w:t>https://doi.org/10.1080/17454832.2017.1378241</w:t>
        </w:r>
      </w:hyperlink>
      <w:r w:rsidR="0051077B" w:rsidRPr="0051077B">
        <w:rPr>
          <w:lang w:val="en-GB"/>
        </w:rPr>
        <w:t xml:space="preserve"> </w:t>
      </w:r>
    </w:p>
    <w:p w14:paraId="78C1FE48" w14:textId="77777777" w:rsidR="0051077B" w:rsidRPr="0051077B" w:rsidRDefault="00EA460D" w:rsidP="0051077B">
      <w:pPr>
        <w:spacing w:after="0" w:line="276" w:lineRule="auto"/>
        <w:ind w:left="720" w:hanging="720"/>
        <w:rPr>
          <w:rFonts w:ascii="Arial" w:hAnsi="Arial" w:cs="Arial"/>
          <w:sz w:val="20"/>
          <w:szCs w:val="20"/>
          <w:lang w:val="en-GB"/>
        </w:rPr>
      </w:pPr>
      <w:r w:rsidRPr="00EA460D">
        <w:rPr>
          <w:lang w:val="en-US"/>
        </w:rPr>
        <w:t>Daykin</w:t>
      </w:r>
      <w:r w:rsidR="0051077B" w:rsidRPr="0051077B">
        <w:rPr>
          <w:lang w:val="en-GB"/>
        </w:rPr>
        <w:t>.</w:t>
      </w:r>
      <w:r>
        <w:rPr>
          <w:lang w:val="en-US"/>
        </w:rPr>
        <w:t xml:space="preserve"> N.</w:t>
      </w:r>
      <w:r w:rsidRPr="00EA460D">
        <w:rPr>
          <w:lang w:val="en-US"/>
        </w:rPr>
        <w:t>, Gray</w:t>
      </w:r>
      <w:r w:rsidR="0051077B" w:rsidRPr="0051077B">
        <w:rPr>
          <w:lang w:val="en-GB"/>
        </w:rPr>
        <w:t>,</w:t>
      </w:r>
      <w:r>
        <w:rPr>
          <w:lang w:val="en-US"/>
        </w:rPr>
        <w:t xml:space="preserve"> K.</w:t>
      </w:r>
      <w:r w:rsidRPr="00EA460D">
        <w:rPr>
          <w:lang w:val="en-US"/>
        </w:rPr>
        <w:t>, McCree</w:t>
      </w:r>
      <w:r w:rsidR="0051077B" w:rsidRPr="0051077B">
        <w:rPr>
          <w:lang w:val="en-GB"/>
        </w:rPr>
        <w:t>,</w:t>
      </w:r>
      <w:r>
        <w:rPr>
          <w:lang w:val="en-US"/>
        </w:rPr>
        <w:t xml:space="preserve"> M.</w:t>
      </w:r>
      <w:r w:rsidR="0051077B" w:rsidRPr="0051077B">
        <w:rPr>
          <w:lang w:val="en-GB"/>
        </w:rPr>
        <w:t>,</w:t>
      </w:r>
      <w:r w:rsidRPr="00EA460D">
        <w:rPr>
          <w:lang w:val="en-US"/>
        </w:rPr>
        <w:t xml:space="preserve"> &amp; Willis</w:t>
      </w:r>
      <w:r w:rsidR="0051077B" w:rsidRPr="0051077B">
        <w:rPr>
          <w:lang w:val="en-GB"/>
        </w:rPr>
        <w:t>,</w:t>
      </w:r>
      <w:r>
        <w:rPr>
          <w:lang w:val="en-US"/>
        </w:rPr>
        <w:t xml:space="preserve"> J.</w:t>
      </w:r>
      <w:r w:rsidRPr="00EA460D">
        <w:rPr>
          <w:lang w:val="en-US"/>
        </w:rPr>
        <w:t xml:space="preserve"> (2017)</w:t>
      </w:r>
      <w:r w:rsidR="0051077B" w:rsidRPr="0051077B">
        <w:rPr>
          <w:lang w:val="en-GB"/>
        </w:rPr>
        <w:t>.</w:t>
      </w:r>
      <w:r w:rsidRPr="00EA460D">
        <w:rPr>
          <w:lang w:val="en-US"/>
        </w:rPr>
        <w:t xml:space="preserve"> Creative and credible evaluation for arts, health and well-being: opportunities and challenges of co-production</w:t>
      </w:r>
      <w:r w:rsidR="0051077B" w:rsidRPr="0051077B">
        <w:rPr>
          <w:lang w:val="en-GB"/>
        </w:rPr>
        <w:t xml:space="preserve">. </w:t>
      </w:r>
      <w:r w:rsidRPr="0051077B">
        <w:rPr>
          <w:i/>
          <w:iCs/>
          <w:lang w:val="en-US"/>
        </w:rPr>
        <w:t>Arts &amp; Health, 9</w:t>
      </w:r>
      <w:r w:rsidR="0051077B" w:rsidRPr="0051077B">
        <w:rPr>
          <w:lang w:val="en-GB"/>
        </w:rPr>
        <w:t>(</w:t>
      </w:r>
      <w:r w:rsidRPr="00EA460D">
        <w:rPr>
          <w:lang w:val="en-US"/>
        </w:rPr>
        <w:t>2</w:t>
      </w:r>
      <w:r w:rsidR="0051077B" w:rsidRPr="0051077B">
        <w:rPr>
          <w:lang w:val="en-GB"/>
        </w:rPr>
        <w:t>)</w:t>
      </w:r>
      <w:r w:rsidRPr="00EA460D">
        <w:rPr>
          <w:lang w:val="en-US"/>
        </w:rPr>
        <w:t>, 123-138</w:t>
      </w:r>
      <w:r w:rsidR="00407AE5">
        <w:rPr>
          <w:lang w:val="en-US"/>
        </w:rPr>
        <w:t xml:space="preserve">. </w:t>
      </w:r>
      <w:hyperlink r:id="rId21" w:history="1">
        <w:r w:rsidR="0051077B" w:rsidRPr="007C3554">
          <w:rPr>
            <w:rStyle w:val="Hyperlink"/>
            <w:lang w:val="en-US"/>
          </w:rPr>
          <w:t>https://doi.org/10.1080/17533015.2016.1206948</w:t>
        </w:r>
      </w:hyperlink>
      <w:r w:rsidR="0051077B" w:rsidRPr="0051077B">
        <w:rPr>
          <w:lang w:val="en-GB"/>
        </w:rPr>
        <w:t xml:space="preserve"> </w:t>
      </w:r>
    </w:p>
    <w:p w14:paraId="2086935E" w14:textId="77777777" w:rsidR="005D78DE" w:rsidRDefault="00C57097" w:rsidP="005D78DE">
      <w:pPr>
        <w:spacing w:after="0" w:line="276" w:lineRule="auto"/>
        <w:ind w:left="720" w:hanging="720"/>
        <w:rPr>
          <w:lang w:val="en-US"/>
        </w:rPr>
      </w:pPr>
      <w:r w:rsidRPr="00C57097">
        <w:rPr>
          <w:lang w:val="en-US"/>
        </w:rPr>
        <w:t>Fraser</w:t>
      </w:r>
      <w:r w:rsidR="0051077B">
        <w:rPr>
          <w:lang w:val="en-US"/>
        </w:rPr>
        <w:t>,</w:t>
      </w:r>
      <w:r>
        <w:rPr>
          <w:lang w:val="en-US"/>
        </w:rPr>
        <w:t xml:space="preserve"> K.D.</w:t>
      </w:r>
      <w:r w:rsidRPr="00C57097">
        <w:rPr>
          <w:lang w:val="en-US"/>
        </w:rPr>
        <w:t xml:space="preserve"> &amp; Sayah</w:t>
      </w:r>
      <w:r>
        <w:rPr>
          <w:lang w:val="en-US"/>
        </w:rPr>
        <w:t xml:space="preserve"> F.</w:t>
      </w:r>
      <w:r w:rsidRPr="00C57097">
        <w:rPr>
          <w:lang w:val="en-US"/>
        </w:rPr>
        <w:t xml:space="preserve"> (2011)</w:t>
      </w:r>
      <w:r>
        <w:rPr>
          <w:lang w:val="en-US"/>
        </w:rPr>
        <w:t>.</w:t>
      </w:r>
      <w:r w:rsidRPr="00C57097">
        <w:rPr>
          <w:lang w:val="en-US"/>
        </w:rPr>
        <w:t xml:space="preserve"> Arts-based methods</w:t>
      </w:r>
      <w:r>
        <w:rPr>
          <w:lang w:val="en-US"/>
        </w:rPr>
        <w:t xml:space="preserve"> </w:t>
      </w:r>
      <w:r w:rsidRPr="00C57097">
        <w:rPr>
          <w:lang w:val="en-US"/>
        </w:rPr>
        <w:t>in health research: A systematic review of the literature</w:t>
      </w:r>
      <w:r w:rsidR="0051077B">
        <w:rPr>
          <w:lang w:val="en-US"/>
        </w:rPr>
        <w:t>.</w:t>
      </w:r>
      <w:r w:rsidRPr="00C57097">
        <w:rPr>
          <w:lang w:val="en-US"/>
        </w:rPr>
        <w:t xml:space="preserve"> </w:t>
      </w:r>
      <w:r w:rsidRPr="0051077B">
        <w:rPr>
          <w:i/>
          <w:iCs/>
          <w:lang w:val="en-US"/>
        </w:rPr>
        <w:t>Arts &amp; Health, 3(</w:t>
      </w:r>
      <w:r w:rsidRPr="00C57097">
        <w:rPr>
          <w:lang w:val="en-US"/>
        </w:rPr>
        <w:t>2</w:t>
      </w:r>
      <w:r>
        <w:rPr>
          <w:lang w:val="en-US"/>
        </w:rPr>
        <w:t>)</w:t>
      </w:r>
      <w:r w:rsidR="0051077B">
        <w:rPr>
          <w:lang w:val="en-US"/>
        </w:rPr>
        <w:t xml:space="preserve">, </w:t>
      </w:r>
      <w:r w:rsidRPr="00C57097">
        <w:rPr>
          <w:lang w:val="en-US"/>
        </w:rPr>
        <w:t>10-145</w:t>
      </w:r>
      <w:r w:rsidR="0051077B">
        <w:rPr>
          <w:lang w:val="en-US"/>
        </w:rPr>
        <w:t xml:space="preserve">. </w:t>
      </w:r>
      <w:hyperlink r:id="rId22" w:history="1">
        <w:r w:rsidR="0051077B" w:rsidRPr="007C3554">
          <w:rPr>
            <w:rStyle w:val="Hyperlink"/>
            <w:lang w:val="en-US"/>
          </w:rPr>
          <w:t>https://doi.org/10.1080/17533015.2011.561357</w:t>
        </w:r>
      </w:hyperlink>
      <w:r w:rsidR="0051077B">
        <w:rPr>
          <w:lang w:val="en-US"/>
        </w:rPr>
        <w:t xml:space="preserve"> </w:t>
      </w:r>
    </w:p>
    <w:p w14:paraId="01366129" w14:textId="77777777" w:rsidR="005D78DE" w:rsidRDefault="005D78DE" w:rsidP="005D78DE">
      <w:pPr>
        <w:spacing w:after="0" w:line="276" w:lineRule="auto"/>
        <w:ind w:left="720" w:hanging="720"/>
        <w:rPr>
          <w:lang w:val="en-US"/>
        </w:rPr>
      </w:pPr>
    </w:p>
    <w:p w14:paraId="73918C01" w14:textId="77777777" w:rsidR="005D78DE" w:rsidRDefault="005D78DE" w:rsidP="006316DE">
      <w:pPr>
        <w:spacing w:after="0" w:line="276" w:lineRule="auto"/>
        <w:rPr>
          <w:lang w:val="en-US"/>
        </w:rPr>
      </w:pPr>
    </w:p>
    <w:p w14:paraId="03E357E2" w14:textId="77777777" w:rsidR="005D78DE" w:rsidRDefault="005D78DE" w:rsidP="005D78DE">
      <w:pPr>
        <w:spacing w:after="0" w:line="276" w:lineRule="auto"/>
        <w:ind w:left="720" w:hanging="720"/>
        <w:rPr>
          <w:lang w:val="en-US"/>
        </w:rPr>
      </w:pPr>
    </w:p>
    <w:p w14:paraId="6518F745" w14:textId="77777777" w:rsidR="006316DE" w:rsidRDefault="006316DE" w:rsidP="005D78DE">
      <w:pPr>
        <w:spacing w:after="0" w:line="276" w:lineRule="auto"/>
        <w:ind w:left="720" w:hanging="720"/>
        <w:rPr>
          <w:lang w:val="en-US"/>
        </w:rPr>
      </w:pPr>
    </w:p>
    <w:p w14:paraId="7CF2E677" w14:textId="77777777" w:rsidR="006316DE" w:rsidRDefault="006316DE" w:rsidP="005D78DE">
      <w:pPr>
        <w:spacing w:after="0" w:line="276" w:lineRule="auto"/>
        <w:ind w:left="720" w:hanging="720"/>
        <w:rPr>
          <w:lang w:val="en-US"/>
        </w:rPr>
      </w:pPr>
    </w:p>
    <w:p w14:paraId="4EB83FDE" w14:textId="09D2F44D" w:rsidR="005E55AE" w:rsidRDefault="00407AE5" w:rsidP="005D78DE">
      <w:pPr>
        <w:spacing w:after="0" w:line="276" w:lineRule="auto"/>
        <w:ind w:left="720" w:hanging="720"/>
        <w:rPr>
          <w:lang w:val="en-US"/>
        </w:rPr>
      </w:pPr>
      <w:r w:rsidRPr="00407AE5">
        <w:rPr>
          <w:lang w:val="en-US"/>
        </w:rPr>
        <w:t>Fuller</w:t>
      </w:r>
      <w:r w:rsidR="0051077B">
        <w:rPr>
          <w:lang w:val="en-US"/>
        </w:rPr>
        <w:t>,</w:t>
      </w:r>
      <w:r w:rsidRPr="00407AE5">
        <w:rPr>
          <w:lang w:val="en-US"/>
        </w:rPr>
        <w:t xml:space="preserve"> C</w:t>
      </w:r>
      <w:r>
        <w:rPr>
          <w:lang w:val="en-US"/>
        </w:rPr>
        <w:t>.</w:t>
      </w:r>
      <w:r w:rsidRPr="00407AE5">
        <w:rPr>
          <w:lang w:val="en-US"/>
        </w:rPr>
        <w:t>W</w:t>
      </w:r>
      <w:r>
        <w:rPr>
          <w:lang w:val="en-US"/>
        </w:rPr>
        <w:t>.</w:t>
      </w:r>
      <w:r w:rsidRPr="00407AE5">
        <w:rPr>
          <w:lang w:val="en-US"/>
        </w:rPr>
        <w:t xml:space="preserve">, </w:t>
      </w:r>
      <w:proofErr w:type="spellStart"/>
      <w:r w:rsidRPr="00407AE5">
        <w:rPr>
          <w:lang w:val="en-US"/>
        </w:rPr>
        <w:t>Junge</w:t>
      </w:r>
      <w:proofErr w:type="spellEnd"/>
      <w:r w:rsidR="0051077B">
        <w:rPr>
          <w:lang w:val="en-US"/>
        </w:rPr>
        <w:t>,</w:t>
      </w:r>
      <w:r w:rsidRPr="00407AE5">
        <w:rPr>
          <w:lang w:val="en-US"/>
        </w:rPr>
        <w:t xml:space="preserve"> A</w:t>
      </w:r>
      <w:r>
        <w:rPr>
          <w:lang w:val="en-US"/>
        </w:rPr>
        <w:t>.</w:t>
      </w:r>
      <w:r w:rsidRPr="00407AE5">
        <w:rPr>
          <w:lang w:val="en-US"/>
        </w:rPr>
        <w:t>, DeCelles</w:t>
      </w:r>
      <w:r w:rsidR="0051077B">
        <w:rPr>
          <w:lang w:val="en-US"/>
        </w:rPr>
        <w:t>,</w:t>
      </w:r>
      <w:r w:rsidRPr="00407AE5">
        <w:rPr>
          <w:lang w:val="en-US"/>
        </w:rPr>
        <w:t xml:space="preserve"> J</w:t>
      </w:r>
      <w:r>
        <w:rPr>
          <w:lang w:val="en-US"/>
        </w:rPr>
        <w:t>.</w:t>
      </w:r>
      <w:r w:rsidRPr="00407AE5">
        <w:rPr>
          <w:lang w:val="en-US"/>
        </w:rPr>
        <w:t>, Donald</w:t>
      </w:r>
      <w:r w:rsidR="0051077B">
        <w:rPr>
          <w:lang w:val="en-US"/>
        </w:rPr>
        <w:t>,</w:t>
      </w:r>
      <w:r w:rsidRPr="00407AE5">
        <w:rPr>
          <w:lang w:val="en-US"/>
        </w:rPr>
        <w:t xml:space="preserve"> J</w:t>
      </w:r>
      <w:r>
        <w:rPr>
          <w:lang w:val="en-US"/>
        </w:rPr>
        <w:t>.</w:t>
      </w:r>
      <w:r w:rsidRPr="00407AE5">
        <w:rPr>
          <w:lang w:val="en-US"/>
        </w:rPr>
        <w:t>, Jankelowitz</w:t>
      </w:r>
      <w:r w:rsidR="0051077B">
        <w:rPr>
          <w:lang w:val="en-US"/>
        </w:rPr>
        <w:t xml:space="preserve">, </w:t>
      </w:r>
      <w:r w:rsidRPr="00407AE5">
        <w:rPr>
          <w:lang w:val="en-US"/>
        </w:rPr>
        <w:t>R</w:t>
      </w:r>
      <w:r>
        <w:rPr>
          <w:lang w:val="en-US"/>
        </w:rPr>
        <w:t>.</w:t>
      </w:r>
      <w:r w:rsidRPr="00407AE5">
        <w:rPr>
          <w:lang w:val="en-US"/>
        </w:rPr>
        <w:t xml:space="preserve">, </w:t>
      </w:r>
      <w:r w:rsidR="0051077B">
        <w:rPr>
          <w:lang w:val="en-US"/>
        </w:rPr>
        <w:t xml:space="preserve">&amp; </w:t>
      </w:r>
      <w:r w:rsidR="00EE5C31" w:rsidRPr="00407AE5">
        <w:rPr>
          <w:lang w:val="en-US"/>
        </w:rPr>
        <w:t>Dvorak</w:t>
      </w:r>
      <w:r w:rsidR="00EE5C31">
        <w:rPr>
          <w:lang w:val="en-US"/>
        </w:rPr>
        <w:t xml:space="preserve">, </w:t>
      </w:r>
      <w:r w:rsidR="00EE5C31" w:rsidRPr="00407AE5">
        <w:rPr>
          <w:lang w:val="en-US"/>
        </w:rPr>
        <w:t>J.</w:t>
      </w:r>
      <w:r>
        <w:rPr>
          <w:lang w:val="en-US"/>
        </w:rPr>
        <w:t xml:space="preserve"> (2010).</w:t>
      </w:r>
      <w:r w:rsidRPr="00407AE5">
        <w:rPr>
          <w:lang w:val="en-US"/>
        </w:rPr>
        <w:t xml:space="preserve"> 'Football for Health'--a football-based health-promotion programme for children in South Africa: a parallel cohort study. </w:t>
      </w:r>
      <w:r w:rsidRPr="0051077B">
        <w:rPr>
          <w:i/>
          <w:iCs/>
          <w:lang w:val="en-US"/>
        </w:rPr>
        <w:t>British Journal of Sports Medicine, 44(</w:t>
      </w:r>
      <w:r w:rsidRPr="00407AE5">
        <w:rPr>
          <w:lang w:val="en-US"/>
        </w:rPr>
        <w:t>8)</w:t>
      </w:r>
      <w:r w:rsidR="0051077B">
        <w:rPr>
          <w:lang w:val="en-US"/>
        </w:rPr>
        <w:t xml:space="preserve">, </w:t>
      </w:r>
      <w:r w:rsidRPr="00407AE5">
        <w:rPr>
          <w:lang w:val="en-US"/>
        </w:rPr>
        <w:t>546-</w:t>
      </w:r>
      <w:r>
        <w:rPr>
          <w:lang w:val="en-US"/>
        </w:rPr>
        <w:t>5</w:t>
      </w:r>
      <w:r w:rsidRPr="00407AE5">
        <w:rPr>
          <w:lang w:val="en-US"/>
        </w:rPr>
        <w:t xml:space="preserve">54. </w:t>
      </w:r>
      <w:hyperlink r:id="rId23" w:history="1">
        <w:r w:rsidR="0051077B" w:rsidRPr="007C3554">
          <w:rPr>
            <w:rStyle w:val="Hyperlink"/>
            <w:lang w:val="en-US"/>
          </w:rPr>
          <w:t>https://doi.org/10.1136/bjsm.2010.072223</w:t>
        </w:r>
      </w:hyperlink>
      <w:r w:rsidR="0051077B">
        <w:rPr>
          <w:lang w:val="en-US"/>
        </w:rPr>
        <w:t xml:space="preserve"> </w:t>
      </w:r>
    </w:p>
    <w:p w14:paraId="624FB159" w14:textId="2D0A6159" w:rsidR="005E55AE" w:rsidRPr="005E55AE" w:rsidRDefault="00EA460D" w:rsidP="005E55AE">
      <w:pPr>
        <w:spacing w:after="0" w:line="276" w:lineRule="auto"/>
        <w:ind w:left="720" w:hanging="720"/>
        <w:rPr>
          <w:lang w:val="en-US"/>
        </w:rPr>
      </w:pPr>
      <w:r w:rsidRPr="00EA460D">
        <w:rPr>
          <w:lang w:val="en-US"/>
        </w:rPr>
        <w:t>Gillam</w:t>
      </w:r>
      <w:r w:rsidR="00D867E4">
        <w:rPr>
          <w:lang w:val="en-US"/>
        </w:rPr>
        <w:t>,</w:t>
      </w:r>
      <w:r w:rsidRPr="00EA460D">
        <w:rPr>
          <w:lang w:val="en-US"/>
        </w:rPr>
        <w:t xml:space="preserve"> T</w:t>
      </w:r>
      <w:r>
        <w:rPr>
          <w:lang w:val="en-US"/>
        </w:rPr>
        <w:t xml:space="preserve">. (2018). </w:t>
      </w:r>
      <w:r w:rsidRPr="00EA460D">
        <w:rPr>
          <w:lang w:val="en-US"/>
        </w:rPr>
        <w:t>Enhancing public mental health and wellbeing through creative arts participation</w:t>
      </w:r>
      <w:r>
        <w:rPr>
          <w:lang w:val="en-US"/>
        </w:rPr>
        <w:t xml:space="preserve">. </w:t>
      </w:r>
      <w:r w:rsidRPr="00D867E4">
        <w:rPr>
          <w:i/>
          <w:iCs/>
          <w:lang w:val="en-US"/>
        </w:rPr>
        <w:t>Journal of public mental health, 17</w:t>
      </w:r>
      <w:r w:rsidRPr="00EA460D">
        <w:rPr>
          <w:lang w:val="en-US"/>
        </w:rPr>
        <w:t>(4)</w:t>
      </w:r>
      <w:r w:rsidR="00D867E4">
        <w:rPr>
          <w:lang w:val="en-US"/>
        </w:rPr>
        <w:t xml:space="preserve">, </w:t>
      </w:r>
      <w:r w:rsidRPr="00EA460D">
        <w:rPr>
          <w:lang w:val="en-US"/>
        </w:rPr>
        <w:t>148-156</w:t>
      </w:r>
      <w:r w:rsidR="00407AE5">
        <w:rPr>
          <w:lang w:val="en-US"/>
        </w:rPr>
        <w:t>.</w:t>
      </w:r>
      <w:r w:rsidR="00D867E4">
        <w:rPr>
          <w:lang w:val="en-US"/>
        </w:rPr>
        <w:t xml:space="preserve"> </w:t>
      </w:r>
      <w:hyperlink r:id="rId24" w:history="1">
        <w:r w:rsidR="00D867E4" w:rsidRPr="007C3554">
          <w:rPr>
            <w:rStyle w:val="Hyperlink"/>
            <w:lang w:val="en-US"/>
          </w:rPr>
          <w:t>https://doi.org/10.1108/JPMH-09-2018-0065</w:t>
        </w:r>
      </w:hyperlink>
      <w:r w:rsidR="00D867E4">
        <w:rPr>
          <w:lang w:val="en-US"/>
        </w:rPr>
        <w:t xml:space="preserve"> </w:t>
      </w:r>
    </w:p>
    <w:p w14:paraId="1907E0B9" w14:textId="6376DED6" w:rsidR="00D867E4" w:rsidRDefault="00F72939" w:rsidP="00D867E4">
      <w:pPr>
        <w:spacing w:after="0" w:line="276" w:lineRule="auto"/>
        <w:ind w:left="720" w:hanging="720"/>
        <w:rPr>
          <w:lang w:val="en-US"/>
        </w:rPr>
      </w:pPr>
      <w:r w:rsidRPr="00F72939">
        <w:rPr>
          <w:rFonts w:cs="Arial"/>
          <w:color w:val="000000"/>
          <w:lang w:val="en-US"/>
        </w:rPr>
        <w:t xml:space="preserve">Hansel, B., Erlandsson, L., </w:t>
      </w:r>
      <w:r w:rsidR="00D867E4">
        <w:rPr>
          <w:rFonts w:cs="Arial"/>
          <w:color w:val="000000"/>
          <w:lang w:val="en-US"/>
        </w:rPr>
        <w:t xml:space="preserve">&amp; </w:t>
      </w:r>
      <w:r w:rsidRPr="00F72939">
        <w:rPr>
          <w:rFonts w:cs="Arial"/>
          <w:color w:val="000000"/>
          <w:lang w:val="en-US"/>
        </w:rPr>
        <w:t>Leufstadius, C. (2020),</w:t>
      </w:r>
      <w:r w:rsidRPr="00F72939">
        <w:rPr>
          <w:rFonts w:cs="Arial"/>
          <w:b/>
          <w:color w:val="000000"/>
          <w:lang w:val="en-US"/>
        </w:rPr>
        <w:t xml:space="preserve"> </w:t>
      </w:r>
      <w:r w:rsidRPr="00F72939">
        <w:rPr>
          <w:rFonts w:cs="Arial"/>
          <w:color w:val="000000"/>
          <w:lang w:val="en-US"/>
        </w:rPr>
        <w:t xml:space="preserve">A concept analysis of creative activities as intervention in occupational therapy. </w:t>
      </w:r>
      <w:r w:rsidRPr="00D867E4">
        <w:rPr>
          <w:rFonts w:cs="Arial"/>
          <w:i/>
          <w:iCs/>
          <w:color w:val="000000"/>
          <w:lang w:val="en-US"/>
        </w:rPr>
        <w:t xml:space="preserve">Scandinavian Journal of </w:t>
      </w:r>
      <w:r w:rsidR="00D867E4" w:rsidRPr="00D867E4">
        <w:rPr>
          <w:rFonts w:cs="Arial"/>
          <w:i/>
          <w:iCs/>
          <w:color w:val="000000"/>
          <w:lang w:val="en-US"/>
        </w:rPr>
        <w:t>Occupational</w:t>
      </w:r>
      <w:r w:rsidRPr="00D867E4">
        <w:rPr>
          <w:rFonts w:cs="Arial"/>
          <w:i/>
          <w:iCs/>
          <w:color w:val="000000"/>
          <w:lang w:val="en-US"/>
        </w:rPr>
        <w:t xml:space="preserve"> Therapy</w:t>
      </w:r>
      <w:r w:rsidR="00D867E4" w:rsidRPr="00D867E4">
        <w:rPr>
          <w:rFonts w:cs="Arial"/>
          <w:i/>
          <w:iCs/>
          <w:color w:val="000000"/>
          <w:lang w:val="en-US"/>
        </w:rPr>
        <w:t>,</w:t>
      </w:r>
      <w:r w:rsidR="00D867E4">
        <w:rPr>
          <w:lang w:val="en-GB"/>
        </w:rPr>
        <w:t xml:space="preserve">28(1), </w:t>
      </w:r>
      <w:r w:rsidR="00D867E4" w:rsidRPr="00D867E4">
        <w:rPr>
          <w:rFonts w:cs="Arial"/>
          <w:color w:val="000000"/>
          <w:lang w:val="en-US"/>
        </w:rPr>
        <w:t>63-77</w:t>
      </w:r>
      <w:r w:rsidR="00D867E4">
        <w:rPr>
          <w:rFonts w:cs="Arial"/>
          <w:color w:val="000000"/>
          <w:lang w:val="en-US"/>
        </w:rPr>
        <w:t xml:space="preserve">. </w:t>
      </w:r>
      <w:hyperlink r:id="rId25" w:history="1">
        <w:r w:rsidR="00D867E4" w:rsidRPr="007C3554">
          <w:rPr>
            <w:rStyle w:val="Hyperlink"/>
            <w:rFonts w:cs="Arial"/>
            <w:lang w:val="en-US"/>
          </w:rPr>
          <w:t>https://doi.org/10.1177/1757913918772602</w:t>
        </w:r>
      </w:hyperlink>
      <w:r w:rsidR="00D867E4">
        <w:rPr>
          <w:rFonts w:cs="Arial"/>
          <w:color w:val="000000"/>
          <w:lang w:val="en-US"/>
        </w:rPr>
        <w:t xml:space="preserve"> </w:t>
      </w:r>
    </w:p>
    <w:p w14:paraId="397CF0F5" w14:textId="76C56ECF" w:rsidR="00D867E4" w:rsidRDefault="00C57097" w:rsidP="00D867E4">
      <w:pPr>
        <w:spacing w:after="0" w:line="276" w:lineRule="auto"/>
        <w:ind w:left="720" w:hanging="720"/>
        <w:rPr>
          <w:rStyle w:val="Hyperlink"/>
          <w:lang w:val="en-US"/>
        </w:rPr>
      </w:pPr>
      <w:r w:rsidRPr="00C57097">
        <w:rPr>
          <w:lang w:val="en-US"/>
        </w:rPr>
        <w:t>Jaganath</w:t>
      </w:r>
      <w:r w:rsidR="00D867E4">
        <w:rPr>
          <w:lang w:val="en-US"/>
        </w:rPr>
        <w:t>,</w:t>
      </w:r>
      <w:r>
        <w:rPr>
          <w:lang w:val="en-US"/>
        </w:rPr>
        <w:t xml:space="preserve"> D.</w:t>
      </w:r>
      <w:r w:rsidRPr="00C57097">
        <w:rPr>
          <w:lang w:val="en-US"/>
        </w:rPr>
        <w:t>, Mulenga</w:t>
      </w:r>
      <w:r w:rsidR="00D867E4">
        <w:rPr>
          <w:lang w:val="en-US"/>
        </w:rPr>
        <w:t>,</w:t>
      </w:r>
      <w:r>
        <w:rPr>
          <w:lang w:val="en-US"/>
        </w:rPr>
        <w:t xml:space="preserve"> C.</w:t>
      </w:r>
      <w:r w:rsidRPr="00C57097">
        <w:rPr>
          <w:lang w:val="en-US"/>
        </w:rPr>
        <w:t>, Hoffman</w:t>
      </w:r>
      <w:r w:rsidR="00D867E4">
        <w:rPr>
          <w:lang w:val="en-US"/>
        </w:rPr>
        <w:t>,</w:t>
      </w:r>
      <w:r>
        <w:rPr>
          <w:lang w:val="en-US"/>
        </w:rPr>
        <w:t xml:space="preserve"> R.M.</w:t>
      </w:r>
      <w:r w:rsidRPr="00C57097">
        <w:rPr>
          <w:lang w:val="en-US"/>
        </w:rPr>
        <w:t>, Hamilton</w:t>
      </w:r>
      <w:r w:rsidR="00D867E4">
        <w:rPr>
          <w:lang w:val="en-US"/>
        </w:rPr>
        <w:t>,</w:t>
      </w:r>
      <w:r>
        <w:rPr>
          <w:lang w:val="en-US"/>
        </w:rPr>
        <w:t xml:space="preserve"> J.</w:t>
      </w:r>
      <w:r w:rsidRPr="00C57097">
        <w:rPr>
          <w:lang w:val="en-US"/>
        </w:rPr>
        <w:t>,</w:t>
      </w:r>
      <w:r w:rsidR="00D867E4">
        <w:rPr>
          <w:lang w:val="en-US"/>
        </w:rPr>
        <w:t xml:space="preserve"> &amp;</w:t>
      </w:r>
      <w:r w:rsidRPr="00C57097">
        <w:rPr>
          <w:lang w:val="en-US"/>
        </w:rPr>
        <w:t xml:space="preserve"> Boneh</w:t>
      </w:r>
      <w:r w:rsidR="00D867E4">
        <w:rPr>
          <w:lang w:val="en-US"/>
        </w:rPr>
        <w:t>,</w:t>
      </w:r>
      <w:r>
        <w:rPr>
          <w:lang w:val="en-US"/>
        </w:rPr>
        <w:t xml:space="preserve"> G. (2014).</w:t>
      </w:r>
      <w:r w:rsidRPr="00C57097">
        <w:rPr>
          <w:lang w:val="en-US"/>
        </w:rPr>
        <w:t xml:space="preserve"> This is My Story: participatory performance for HIV and AIDS education at the University of Malawi</w:t>
      </w:r>
      <w:r>
        <w:rPr>
          <w:lang w:val="en-US"/>
        </w:rPr>
        <w:t xml:space="preserve">. </w:t>
      </w:r>
      <w:r w:rsidRPr="00D867E4">
        <w:rPr>
          <w:i/>
          <w:iCs/>
          <w:lang w:val="en-US"/>
        </w:rPr>
        <w:t>Health Education Research, 29</w:t>
      </w:r>
      <w:r>
        <w:rPr>
          <w:lang w:val="en-US"/>
        </w:rPr>
        <w:t>(</w:t>
      </w:r>
      <w:r w:rsidRPr="00C57097">
        <w:rPr>
          <w:lang w:val="en-US"/>
        </w:rPr>
        <w:t>4</w:t>
      </w:r>
      <w:r>
        <w:rPr>
          <w:lang w:val="en-US"/>
        </w:rPr>
        <w:t>)</w:t>
      </w:r>
      <w:r w:rsidR="00D867E4">
        <w:rPr>
          <w:lang w:val="en-US"/>
        </w:rPr>
        <w:t xml:space="preserve">, </w:t>
      </w:r>
      <w:r w:rsidRPr="00C57097">
        <w:rPr>
          <w:lang w:val="en-US"/>
        </w:rPr>
        <w:t>554–565</w:t>
      </w:r>
      <w:r w:rsidR="00D867E4">
        <w:rPr>
          <w:lang w:val="en-US"/>
        </w:rPr>
        <w:t>.</w:t>
      </w:r>
      <w:r w:rsidRPr="00C57097">
        <w:rPr>
          <w:lang w:val="en-US"/>
        </w:rPr>
        <w:t xml:space="preserve"> </w:t>
      </w:r>
      <w:hyperlink r:id="rId26" w:history="1">
        <w:r w:rsidR="00D867E4" w:rsidRPr="007C3554">
          <w:rPr>
            <w:rStyle w:val="Hyperlink"/>
            <w:lang w:val="en-US"/>
          </w:rPr>
          <w:t>https://doi.org/10.1093/her/cyt074</w:t>
        </w:r>
      </w:hyperlink>
      <w:r w:rsidR="00D867E4">
        <w:rPr>
          <w:rStyle w:val="Hyperlink"/>
          <w:lang w:val="en-US"/>
        </w:rPr>
        <w:t xml:space="preserve"> </w:t>
      </w:r>
    </w:p>
    <w:p w14:paraId="7F8B7461" w14:textId="77777777" w:rsidR="00D867E4" w:rsidRDefault="00A76ABB" w:rsidP="00D867E4">
      <w:pPr>
        <w:spacing w:after="0" w:line="276" w:lineRule="auto"/>
        <w:ind w:left="720" w:hanging="720"/>
        <w:rPr>
          <w:rFonts w:cs="Arial"/>
          <w:lang w:val="en-US"/>
        </w:rPr>
      </w:pPr>
      <w:r w:rsidRPr="00A76ABB">
        <w:rPr>
          <w:rFonts w:cs="Arial"/>
          <w:lang w:val="en-US"/>
        </w:rPr>
        <w:t>Jensen, A.,</w:t>
      </w:r>
      <w:r w:rsidR="00D867E4">
        <w:rPr>
          <w:rFonts w:cs="Arial"/>
          <w:lang w:val="en-US"/>
        </w:rPr>
        <w:t xml:space="preserve"> &amp;</w:t>
      </w:r>
      <w:r w:rsidRPr="00A76ABB">
        <w:rPr>
          <w:rFonts w:cs="Arial"/>
          <w:lang w:val="en-US"/>
        </w:rPr>
        <w:t xml:space="preserve"> Bonde, L</w:t>
      </w:r>
      <w:r w:rsidR="00D867E4">
        <w:rPr>
          <w:rFonts w:cs="Arial"/>
          <w:lang w:val="en-US"/>
        </w:rPr>
        <w:t>.</w:t>
      </w:r>
      <w:r w:rsidRPr="00A76ABB">
        <w:rPr>
          <w:rFonts w:cs="Arial"/>
          <w:lang w:val="en-US"/>
        </w:rPr>
        <w:t>O. (2018). The use of arts interventions for mental health and wellbeing in health settings</w:t>
      </w:r>
      <w:r w:rsidRPr="00D867E4">
        <w:rPr>
          <w:rFonts w:cs="Arial"/>
          <w:i/>
          <w:iCs/>
          <w:lang w:val="en-US"/>
        </w:rPr>
        <w:t>. Perspectives in Public Health</w:t>
      </w:r>
      <w:r w:rsidR="00690A24" w:rsidRPr="00D867E4">
        <w:rPr>
          <w:rFonts w:cs="Arial"/>
          <w:i/>
          <w:iCs/>
          <w:lang w:val="en-US"/>
        </w:rPr>
        <w:t>, 138</w:t>
      </w:r>
      <w:r w:rsidR="00690A24" w:rsidRPr="00690A24">
        <w:rPr>
          <w:rFonts w:cs="Arial"/>
          <w:lang w:val="en-US"/>
        </w:rPr>
        <w:t>(4)</w:t>
      </w:r>
      <w:r w:rsidR="00D867E4">
        <w:rPr>
          <w:rFonts w:cs="Arial"/>
          <w:lang w:val="en-US"/>
        </w:rPr>
        <w:t xml:space="preserve">, </w:t>
      </w:r>
      <w:r w:rsidR="00690A24" w:rsidRPr="00690A24">
        <w:rPr>
          <w:rFonts w:cs="Arial"/>
          <w:lang w:val="en-US"/>
        </w:rPr>
        <w:t xml:space="preserve">209-214. </w:t>
      </w:r>
      <w:hyperlink r:id="rId27" w:history="1">
        <w:r w:rsidR="00D867E4" w:rsidRPr="007C3554">
          <w:rPr>
            <w:rStyle w:val="Hyperlink"/>
            <w:rFonts w:cs="Arial"/>
            <w:lang w:val="en-US"/>
          </w:rPr>
          <w:t>https://doi.org/10.1177/1757913918772602</w:t>
        </w:r>
      </w:hyperlink>
      <w:r w:rsidR="00D867E4">
        <w:rPr>
          <w:rFonts w:cs="Arial"/>
          <w:lang w:val="en-US"/>
        </w:rPr>
        <w:t xml:space="preserve"> </w:t>
      </w:r>
    </w:p>
    <w:p w14:paraId="720B9162" w14:textId="7C8C467D" w:rsidR="00842388" w:rsidRDefault="00407AE5" w:rsidP="00842388">
      <w:pPr>
        <w:spacing w:after="0" w:line="276" w:lineRule="auto"/>
        <w:ind w:left="720" w:hanging="720"/>
        <w:rPr>
          <w:lang w:val="en-US"/>
        </w:rPr>
      </w:pPr>
      <w:r w:rsidRPr="00407AE5">
        <w:rPr>
          <w:lang w:val="en-US"/>
        </w:rPr>
        <w:t>Kok</w:t>
      </w:r>
      <w:r w:rsidR="00D867E4">
        <w:rPr>
          <w:lang w:val="en-US"/>
        </w:rPr>
        <w:t>,</w:t>
      </w:r>
      <w:r>
        <w:rPr>
          <w:lang w:val="en-US"/>
        </w:rPr>
        <w:t xml:space="preserve"> D.J.</w:t>
      </w:r>
      <w:r w:rsidRPr="00407AE5">
        <w:rPr>
          <w:lang w:val="en-US"/>
        </w:rPr>
        <w:t>, Bisschops</w:t>
      </w:r>
      <w:r w:rsidR="00D867E4">
        <w:rPr>
          <w:lang w:val="en-US"/>
        </w:rPr>
        <w:t xml:space="preserve">, </w:t>
      </w:r>
      <w:r>
        <w:rPr>
          <w:lang w:val="en-US"/>
        </w:rPr>
        <w:t>I.</w:t>
      </w:r>
      <w:r w:rsidRPr="00407AE5">
        <w:rPr>
          <w:lang w:val="en-US"/>
        </w:rPr>
        <w:t>, Knoop</w:t>
      </w:r>
      <w:r w:rsidR="00D867E4">
        <w:rPr>
          <w:lang w:val="en-US"/>
        </w:rPr>
        <w:t>,</w:t>
      </w:r>
      <w:r>
        <w:rPr>
          <w:lang w:val="en-US"/>
        </w:rPr>
        <w:t xml:space="preserve"> L.</w:t>
      </w:r>
      <w:r w:rsidRPr="00407AE5">
        <w:rPr>
          <w:lang w:val="en-US"/>
        </w:rPr>
        <w:t>, Tulu</w:t>
      </w:r>
      <w:r w:rsidR="00D867E4">
        <w:rPr>
          <w:lang w:val="en-US"/>
        </w:rPr>
        <w:t>,</w:t>
      </w:r>
      <w:r>
        <w:rPr>
          <w:lang w:val="en-US"/>
        </w:rPr>
        <w:t xml:space="preserve"> L.</w:t>
      </w:r>
      <w:r w:rsidRPr="00407AE5">
        <w:rPr>
          <w:lang w:val="en-US"/>
        </w:rPr>
        <w:t>, Kujawa-Roeleveld</w:t>
      </w:r>
      <w:r w:rsidR="00D867E4">
        <w:rPr>
          <w:lang w:val="en-US"/>
        </w:rPr>
        <w:t>,</w:t>
      </w:r>
      <w:r>
        <w:rPr>
          <w:lang w:val="en-US"/>
        </w:rPr>
        <w:t xml:space="preserve"> K.</w:t>
      </w:r>
      <w:r w:rsidRPr="00407AE5">
        <w:rPr>
          <w:lang w:val="en-US"/>
        </w:rPr>
        <w:t>, Masresha</w:t>
      </w:r>
      <w:r w:rsidR="00D867E4">
        <w:rPr>
          <w:lang w:val="en-US"/>
        </w:rPr>
        <w:t>,</w:t>
      </w:r>
      <w:r>
        <w:rPr>
          <w:lang w:val="en-US"/>
        </w:rPr>
        <w:t xml:space="preserve"> N.</w:t>
      </w:r>
      <w:r w:rsidRPr="00407AE5">
        <w:rPr>
          <w:lang w:val="en-US"/>
        </w:rPr>
        <w:t>,</w:t>
      </w:r>
      <w:r w:rsidR="00842388">
        <w:rPr>
          <w:lang w:val="en-US"/>
        </w:rPr>
        <w:t xml:space="preserve"> &amp;</w:t>
      </w:r>
      <w:r w:rsidRPr="00407AE5">
        <w:rPr>
          <w:lang w:val="en-US"/>
        </w:rPr>
        <w:t xml:space="preserve"> Houtkamp</w:t>
      </w:r>
      <w:r w:rsidR="00842388">
        <w:rPr>
          <w:lang w:val="en-US"/>
        </w:rPr>
        <w:t>,</w:t>
      </w:r>
      <w:r>
        <w:rPr>
          <w:lang w:val="en-US"/>
        </w:rPr>
        <w:t xml:space="preserve"> J. (2020). </w:t>
      </w:r>
      <w:r w:rsidRPr="00407AE5">
        <w:rPr>
          <w:lang w:val="en-US"/>
        </w:rPr>
        <w:t>Game over or play again? Deploying games for promoting water recycling and hygienic practices at schools in Ethiopia</w:t>
      </w:r>
      <w:r>
        <w:rPr>
          <w:lang w:val="en-US"/>
        </w:rPr>
        <w:t xml:space="preserve">. </w:t>
      </w:r>
      <w:r w:rsidRPr="00842388">
        <w:rPr>
          <w:i/>
          <w:iCs/>
          <w:lang w:val="en-US"/>
        </w:rPr>
        <w:t>Environmental Science &amp; Policy, 111</w:t>
      </w:r>
      <w:r w:rsidR="00842388">
        <w:rPr>
          <w:lang w:val="en-US"/>
        </w:rPr>
        <w:t xml:space="preserve">, </w:t>
      </w:r>
      <w:r w:rsidRPr="00407AE5">
        <w:rPr>
          <w:lang w:val="en-US"/>
        </w:rPr>
        <w:t>83-90</w:t>
      </w:r>
      <w:r>
        <w:rPr>
          <w:lang w:val="en-US"/>
        </w:rPr>
        <w:t xml:space="preserve">. </w:t>
      </w:r>
      <w:hyperlink r:id="rId28" w:history="1"/>
      <w:hyperlink r:id="rId29" w:history="1">
        <w:r w:rsidR="00842388" w:rsidRPr="007C3554">
          <w:rPr>
            <w:rStyle w:val="Hyperlink"/>
            <w:lang w:val="en-US"/>
          </w:rPr>
          <w:t>https://doi.org/10.1177/1757913918772602</w:t>
        </w:r>
      </w:hyperlink>
    </w:p>
    <w:p w14:paraId="6BD9A082" w14:textId="77777777" w:rsidR="00842388" w:rsidRDefault="00407AE5" w:rsidP="00842388">
      <w:pPr>
        <w:spacing w:after="0" w:line="276" w:lineRule="auto"/>
        <w:ind w:left="720" w:hanging="720"/>
        <w:rPr>
          <w:lang w:val="en-US"/>
        </w:rPr>
      </w:pPr>
      <w:r w:rsidRPr="00407AE5">
        <w:rPr>
          <w:lang w:val="en-US"/>
        </w:rPr>
        <w:t>Mansfield</w:t>
      </w:r>
      <w:r w:rsidR="00842388">
        <w:rPr>
          <w:lang w:val="en-US"/>
        </w:rPr>
        <w:t>,</w:t>
      </w:r>
      <w:r>
        <w:rPr>
          <w:lang w:val="en-US"/>
        </w:rPr>
        <w:t xml:space="preserve"> L.</w:t>
      </w:r>
      <w:r w:rsidRPr="00407AE5">
        <w:rPr>
          <w:lang w:val="en-US"/>
        </w:rPr>
        <w:t>, Daykin</w:t>
      </w:r>
      <w:r w:rsidR="00842388">
        <w:rPr>
          <w:lang w:val="en-US"/>
        </w:rPr>
        <w:t>,</w:t>
      </w:r>
      <w:r w:rsidRPr="00407AE5">
        <w:rPr>
          <w:lang w:val="en-US"/>
        </w:rPr>
        <w:t xml:space="preserve"> </w:t>
      </w:r>
      <w:r>
        <w:rPr>
          <w:lang w:val="en-US"/>
        </w:rPr>
        <w:t>N.</w:t>
      </w:r>
      <w:r w:rsidR="00842388">
        <w:rPr>
          <w:lang w:val="en-US"/>
        </w:rPr>
        <w:t>,</w:t>
      </w:r>
      <w:r>
        <w:rPr>
          <w:lang w:val="en-US"/>
        </w:rPr>
        <w:t xml:space="preserve"> </w:t>
      </w:r>
      <w:r w:rsidRPr="00407AE5">
        <w:rPr>
          <w:lang w:val="en-US"/>
        </w:rPr>
        <w:t>&amp; Kay</w:t>
      </w:r>
      <w:r w:rsidR="00842388">
        <w:rPr>
          <w:lang w:val="en-US"/>
        </w:rPr>
        <w:t>,</w:t>
      </w:r>
      <w:r>
        <w:rPr>
          <w:lang w:val="en-US"/>
        </w:rPr>
        <w:t xml:space="preserve"> T.</w:t>
      </w:r>
      <w:r w:rsidRPr="00407AE5">
        <w:rPr>
          <w:lang w:val="en-US"/>
        </w:rPr>
        <w:t xml:space="preserve"> (2020) Leisure and wellbeing</w:t>
      </w:r>
      <w:r>
        <w:rPr>
          <w:lang w:val="en-US"/>
        </w:rPr>
        <w:t xml:space="preserve">. </w:t>
      </w:r>
      <w:r w:rsidRPr="00842388">
        <w:rPr>
          <w:i/>
          <w:iCs/>
          <w:lang w:val="en-US"/>
        </w:rPr>
        <w:t>Leisure Studies, 39</w:t>
      </w:r>
      <w:r w:rsidR="00ED1FD4">
        <w:rPr>
          <w:lang w:val="en-US"/>
        </w:rPr>
        <w:t>(</w:t>
      </w:r>
      <w:r w:rsidRPr="00407AE5">
        <w:rPr>
          <w:lang w:val="en-US"/>
        </w:rPr>
        <w:t>1</w:t>
      </w:r>
      <w:r w:rsidR="00ED1FD4">
        <w:rPr>
          <w:lang w:val="en-US"/>
        </w:rPr>
        <w:t>)</w:t>
      </w:r>
      <w:r w:rsidR="00842388">
        <w:rPr>
          <w:lang w:val="en-US"/>
        </w:rPr>
        <w:t xml:space="preserve">, </w:t>
      </w:r>
      <w:r w:rsidRPr="00407AE5">
        <w:rPr>
          <w:lang w:val="en-US"/>
        </w:rPr>
        <w:t>1-10</w:t>
      </w:r>
      <w:r w:rsidR="00690A24">
        <w:rPr>
          <w:lang w:val="en-US"/>
        </w:rPr>
        <w:t>.</w:t>
      </w:r>
      <w:r w:rsidRPr="00407AE5">
        <w:rPr>
          <w:lang w:val="en-US"/>
        </w:rPr>
        <w:t xml:space="preserve"> </w:t>
      </w:r>
      <w:hyperlink r:id="rId30" w:history="1">
        <w:r w:rsidR="00842388" w:rsidRPr="007C3554">
          <w:rPr>
            <w:rStyle w:val="Hyperlink"/>
            <w:lang w:val="en-US"/>
          </w:rPr>
          <w:t>https://doi.org/10.1080/02614367.2020.1713195</w:t>
        </w:r>
      </w:hyperlink>
      <w:r w:rsidR="00842388">
        <w:rPr>
          <w:lang w:val="en-US"/>
        </w:rPr>
        <w:t xml:space="preserve"> </w:t>
      </w:r>
    </w:p>
    <w:p w14:paraId="233BAEA5" w14:textId="77777777" w:rsidR="005D5A80" w:rsidRDefault="00981674" w:rsidP="005D5A80">
      <w:pPr>
        <w:spacing w:after="0" w:line="276" w:lineRule="auto"/>
        <w:ind w:left="720" w:hanging="720"/>
        <w:rPr>
          <w:lang w:val="en-US"/>
        </w:rPr>
      </w:pPr>
      <w:r w:rsidRPr="00981674">
        <w:rPr>
          <w:lang w:val="en-US"/>
        </w:rPr>
        <w:t xml:space="preserve">Mbizvo </w:t>
      </w:r>
      <w:r>
        <w:t>Ε</w:t>
      </w:r>
      <w:r w:rsidRPr="00981674">
        <w:rPr>
          <w:lang w:val="en-US"/>
        </w:rPr>
        <w:t xml:space="preserve">. (2006). Theatre—a force for health promotion. </w:t>
      </w:r>
      <w:r w:rsidRPr="00842388">
        <w:rPr>
          <w:i/>
          <w:iCs/>
          <w:lang w:val="en-US"/>
        </w:rPr>
        <w:t>Lancet 2006</w:t>
      </w:r>
      <w:r w:rsidR="00842388" w:rsidRPr="00842388">
        <w:rPr>
          <w:i/>
          <w:iCs/>
          <w:lang w:val="en-US"/>
        </w:rPr>
        <w:t>,</w:t>
      </w:r>
      <w:r w:rsidRPr="00842388">
        <w:rPr>
          <w:i/>
          <w:iCs/>
          <w:lang w:val="en-US"/>
        </w:rPr>
        <w:t xml:space="preserve"> 368</w:t>
      </w:r>
      <w:r w:rsidR="00842388">
        <w:rPr>
          <w:lang w:val="en-US"/>
        </w:rPr>
        <w:t xml:space="preserve">, </w:t>
      </w:r>
      <w:r w:rsidRPr="00981674">
        <w:rPr>
          <w:lang w:val="en-US"/>
        </w:rPr>
        <w:t>30</w:t>
      </w:r>
      <w:r w:rsidR="00842388">
        <w:rPr>
          <w:lang w:val="en-US"/>
        </w:rPr>
        <w:t>-</w:t>
      </w:r>
      <w:r w:rsidRPr="00981674">
        <w:rPr>
          <w:lang w:val="en-US"/>
        </w:rPr>
        <w:t>31</w:t>
      </w:r>
      <w:r w:rsidRPr="007F283D">
        <w:rPr>
          <w:lang w:val="en-US"/>
        </w:rPr>
        <w:t xml:space="preserve">. </w:t>
      </w:r>
      <w:hyperlink r:id="rId31" w:history="1">
        <w:r w:rsidR="00842388" w:rsidRPr="007C3554">
          <w:rPr>
            <w:rStyle w:val="Hyperlink"/>
            <w:lang w:val="en-US"/>
          </w:rPr>
          <w:t>http://doi.org/10.1016/S0140-6736(06)69917-0</w:t>
        </w:r>
      </w:hyperlink>
      <w:r w:rsidR="00842388">
        <w:rPr>
          <w:lang w:val="en-US"/>
        </w:rPr>
        <w:t xml:space="preserve"> </w:t>
      </w:r>
      <w:r w:rsidR="005D5A80">
        <w:rPr>
          <w:lang w:val="en-US"/>
        </w:rPr>
        <w:t xml:space="preserve"> </w:t>
      </w:r>
    </w:p>
    <w:p w14:paraId="0688AB61" w14:textId="77777777" w:rsidR="002D1439" w:rsidRDefault="007F283D" w:rsidP="002D1439">
      <w:pPr>
        <w:spacing w:after="0" w:line="276" w:lineRule="auto"/>
        <w:ind w:left="720" w:hanging="720"/>
        <w:rPr>
          <w:lang w:val="en-US"/>
        </w:rPr>
      </w:pPr>
      <w:r w:rsidRPr="007F283D">
        <w:rPr>
          <w:lang w:val="en-US"/>
        </w:rPr>
        <w:t>McKay</w:t>
      </w:r>
      <w:r w:rsidR="005D5A80">
        <w:rPr>
          <w:lang w:val="en-US"/>
        </w:rPr>
        <w:t>,</w:t>
      </w:r>
      <w:r w:rsidRPr="007F283D">
        <w:rPr>
          <w:lang w:val="en-US"/>
        </w:rPr>
        <w:t xml:space="preserve"> F.H.,</w:t>
      </w:r>
      <w:r w:rsidR="005D5A80">
        <w:rPr>
          <w:lang w:val="en-US"/>
        </w:rPr>
        <w:t xml:space="preserve"> &amp;</w:t>
      </w:r>
      <w:r w:rsidRPr="007F283D">
        <w:rPr>
          <w:lang w:val="en-US"/>
        </w:rPr>
        <w:t xml:space="preserve"> McKenzie</w:t>
      </w:r>
      <w:r w:rsidR="005D5A80">
        <w:rPr>
          <w:lang w:val="en-US"/>
        </w:rPr>
        <w:t>,</w:t>
      </w:r>
      <w:r w:rsidRPr="007F283D">
        <w:rPr>
          <w:lang w:val="en-US"/>
        </w:rPr>
        <w:t xml:space="preserve"> H. (2018). Using Art for Health Promotion: Evaluating an In-School Program Through Student Perspectives. </w:t>
      </w:r>
      <w:r w:rsidRPr="005D5A80">
        <w:rPr>
          <w:i/>
          <w:iCs/>
          <w:lang w:val="en-US"/>
        </w:rPr>
        <w:t>Health Promotion Practice, 19</w:t>
      </w:r>
      <w:r w:rsidRPr="007F283D">
        <w:rPr>
          <w:lang w:val="en-US"/>
        </w:rPr>
        <w:t>(4)</w:t>
      </w:r>
      <w:r w:rsidR="005D5A80">
        <w:rPr>
          <w:lang w:val="en-US"/>
        </w:rPr>
        <w:t xml:space="preserve">, </w:t>
      </w:r>
      <w:r w:rsidRPr="007F283D">
        <w:rPr>
          <w:lang w:val="en-US"/>
        </w:rPr>
        <w:t xml:space="preserve">522-530. </w:t>
      </w:r>
      <w:hyperlink r:id="rId32" w:history="1">
        <w:r w:rsidR="005D5A80" w:rsidRPr="007C3554">
          <w:rPr>
            <w:rStyle w:val="Hyperlink"/>
            <w:lang w:val="en-US"/>
          </w:rPr>
          <w:t>https://doi.org/10.1177/1524839917735076</w:t>
        </w:r>
      </w:hyperlink>
      <w:r w:rsidR="005D5A80">
        <w:rPr>
          <w:lang w:val="en-US"/>
        </w:rPr>
        <w:t xml:space="preserve"> </w:t>
      </w:r>
    </w:p>
    <w:p w14:paraId="5689CFC6" w14:textId="77777777" w:rsidR="00BF12AA" w:rsidRDefault="00BF12AA" w:rsidP="00BF12AA">
      <w:pPr>
        <w:spacing w:after="0" w:line="276" w:lineRule="auto"/>
        <w:ind w:left="720" w:hanging="720"/>
        <w:rPr>
          <w:rFonts w:cs="Arial"/>
          <w:color w:val="000000"/>
          <w:lang w:val="en-US"/>
        </w:rPr>
      </w:pPr>
      <w:r w:rsidRPr="00652EAB">
        <w:rPr>
          <w:rFonts w:cs="Arial"/>
          <w:color w:val="000000"/>
          <w:lang w:val="en-GB"/>
        </w:rPr>
        <w:t>Müllersdorf</w:t>
      </w:r>
      <w:r w:rsidR="000202CA" w:rsidRPr="000202CA">
        <w:rPr>
          <w:rFonts w:cs="Arial"/>
          <w:color w:val="000000"/>
          <w:lang w:val="en-US"/>
        </w:rPr>
        <w:t>, M.,</w:t>
      </w:r>
      <w:r w:rsidR="005D5A80">
        <w:rPr>
          <w:rFonts w:cs="Arial"/>
          <w:color w:val="000000"/>
          <w:lang w:val="en-US"/>
        </w:rPr>
        <w:t xml:space="preserve"> &amp; </w:t>
      </w:r>
      <w:r w:rsidR="000202CA" w:rsidRPr="000202CA">
        <w:rPr>
          <w:rFonts w:cs="Arial"/>
          <w:color w:val="000000"/>
          <w:lang w:val="en-US"/>
        </w:rPr>
        <w:t xml:space="preserve">Ivarsson, A. (2016).  What, Why, How – Creative Activities in Occupational Therapy Practice in Sweden. </w:t>
      </w:r>
      <w:r w:rsidRPr="00BF12AA">
        <w:rPr>
          <w:rFonts w:cs="Arial"/>
          <w:i/>
          <w:iCs/>
          <w:color w:val="000000"/>
          <w:lang w:val="en-US"/>
        </w:rPr>
        <w:t>Occupational Therapy International</w:t>
      </w:r>
      <w:r w:rsidR="00C32692" w:rsidRPr="00BF12AA">
        <w:rPr>
          <w:rFonts w:cs="Arial"/>
          <w:i/>
          <w:iCs/>
          <w:color w:val="000000"/>
          <w:lang w:val="en-US"/>
        </w:rPr>
        <w:t>,</w:t>
      </w:r>
      <w:r w:rsidR="00C32692" w:rsidRPr="00BF12AA">
        <w:rPr>
          <w:i/>
          <w:iCs/>
          <w:lang w:val="en-GB"/>
        </w:rPr>
        <w:t xml:space="preserve"> </w:t>
      </w:r>
      <w:r w:rsidR="00C32692" w:rsidRPr="00BF12AA">
        <w:rPr>
          <w:rFonts w:cs="Arial"/>
          <w:i/>
          <w:iCs/>
          <w:color w:val="000000"/>
          <w:lang w:val="en-US"/>
        </w:rPr>
        <w:t>23</w:t>
      </w:r>
      <w:r w:rsidR="00C32692" w:rsidRPr="00C32692">
        <w:rPr>
          <w:rFonts w:cs="Arial"/>
          <w:color w:val="000000"/>
          <w:lang w:val="en-US"/>
        </w:rPr>
        <w:t>(4)</w:t>
      </w:r>
      <w:r w:rsidR="00C32692">
        <w:rPr>
          <w:rFonts w:cs="Arial"/>
          <w:color w:val="000000"/>
          <w:lang w:val="en-US"/>
        </w:rPr>
        <w:t xml:space="preserve">, </w:t>
      </w:r>
      <w:r w:rsidR="00C32692" w:rsidRPr="00C32692">
        <w:rPr>
          <w:rFonts w:cs="Arial"/>
          <w:color w:val="000000"/>
          <w:lang w:val="en-US"/>
        </w:rPr>
        <w:t>369-378</w:t>
      </w:r>
      <w:r w:rsidR="00C32692">
        <w:rPr>
          <w:rFonts w:cs="Arial"/>
          <w:color w:val="000000"/>
          <w:lang w:val="en-US"/>
        </w:rPr>
        <w:t xml:space="preserve">. </w:t>
      </w:r>
      <w:hyperlink r:id="rId33" w:history="1">
        <w:r w:rsidR="00C32692" w:rsidRPr="007C3554">
          <w:rPr>
            <w:rStyle w:val="Hyperlink"/>
            <w:rFonts w:cs="Arial"/>
            <w:lang w:val="en-US"/>
          </w:rPr>
          <w:t>https://doi.org/10.1002/oti.1438</w:t>
        </w:r>
      </w:hyperlink>
      <w:r w:rsidR="00C32692">
        <w:rPr>
          <w:rFonts w:cs="Arial"/>
          <w:color w:val="000000"/>
          <w:lang w:val="en-US"/>
        </w:rPr>
        <w:t xml:space="preserve"> </w:t>
      </w:r>
    </w:p>
    <w:p w14:paraId="2732F348" w14:textId="1F651599" w:rsidR="00BF12AA" w:rsidRDefault="00407AE5" w:rsidP="00BF12AA">
      <w:pPr>
        <w:spacing w:after="0" w:line="276" w:lineRule="auto"/>
        <w:ind w:left="720" w:hanging="720"/>
        <w:rPr>
          <w:lang w:val="en-GB"/>
        </w:rPr>
      </w:pPr>
      <w:r w:rsidRPr="00407AE5">
        <w:rPr>
          <w:lang w:val="en-US"/>
        </w:rPr>
        <w:t>Murphy</w:t>
      </w:r>
      <w:r w:rsidR="00BF12AA">
        <w:rPr>
          <w:lang w:val="en-US"/>
        </w:rPr>
        <w:t>,</w:t>
      </w:r>
      <w:r w:rsidRPr="00407AE5">
        <w:rPr>
          <w:lang w:val="en-US"/>
        </w:rPr>
        <w:t xml:space="preserve"> K.J., Swaminathan</w:t>
      </w:r>
      <w:r w:rsidR="00BF12AA">
        <w:rPr>
          <w:lang w:val="en-US"/>
        </w:rPr>
        <w:t>,</w:t>
      </w:r>
      <w:r w:rsidRPr="00407AE5">
        <w:rPr>
          <w:lang w:val="en-US"/>
        </w:rPr>
        <w:t xml:space="preserve"> S., Howard</w:t>
      </w:r>
      <w:r w:rsidR="00BF12AA">
        <w:rPr>
          <w:lang w:val="en-US"/>
        </w:rPr>
        <w:t>,</w:t>
      </w:r>
      <w:r w:rsidRPr="00407AE5">
        <w:rPr>
          <w:lang w:val="en-US"/>
        </w:rPr>
        <w:t xml:space="preserve"> E., Altschuler</w:t>
      </w:r>
      <w:r w:rsidR="00BF12AA">
        <w:rPr>
          <w:lang w:val="en-US"/>
        </w:rPr>
        <w:t>,</w:t>
      </w:r>
      <w:r w:rsidRPr="00407AE5">
        <w:rPr>
          <w:lang w:val="en-US"/>
        </w:rPr>
        <w:t xml:space="preserve"> A., Rogan</w:t>
      </w:r>
      <w:r w:rsidR="00BF12AA">
        <w:rPr>
          <w:lang w:val="en-US"/>
        </w:rPr>
        <w:t>,</w:t>
      </w:r>
      <w:r w:rsidRPr="00407AE5">
        <w:rPr>
          <w:lang w:val="en-US"/>
        </w:rPr>
        <w:t xml:space="preserve"> J., Beauchet</w:t>
      </w:r>
      <w:r w:rsidR="00BF12AA">
        <w:rPr>
          <w:lang w:val="en-US"/>
        </w:rPr>
        <w:t>,</w:t>
      </w:r>
      <w:r w:rsidRPr="00407AE5">
        <w:rPr>
          <w:lang w:val="en-US"/>
        </w:rPr>
        <w:t xml:space="preserve"> O., Dupuis</w:t>
      </w:r>
      <w:r w:rsidR="00BF12AA">
        <w:rPr>
          <w:lang w:val="en-US"/>
        </w:rPr>
        <w:t>,</w:t>
      </w:r>
      <w:r w:rsidRPr="00407AE5">
        <w:rPr>
          <w:lang w:val="en-US"/>
        </w:rPr>
        <w:t xml:space="preserve"> K., Galea</w:t>
      </w:r>
      <w:r w:rsidR="00BF12AA">
        <w:rPr>
          <w:lang w:val="en-US"/>
        </w:rPr>
        <w:t>,</w:t>
      </w:r>
      <w:r w:rsidRPr="00407AE5">
        <w:rPr>
          <w:lang w:val="en-US"/>
        </w:rPr>
        <w:t xml:space="preserve"> L.A.M., Hogan</w:t>
      </w:r>
      <w:r w:rsidR="00BF12AA">
        <w:rPr>
          <w:lang w:val="en-US"/>
        </w:rPr>
        <w:t>,</w:t>
      </w:r>
      <w:r w:rsidRPr="00407AE5">
        <w:rPr>
          <w:lang w:val="en-US"/>
        </w:rPr>
        <w:t xml:space="preserve"> D., Lingum</w:t>
      </w:r>
      <w:r w:rsidR="00BF12AA">
        <w:rPr>
          <w:lang w:val="en-US"/>
        </w:rPr>
        <w:t>,</w:t>
      </w:r>
      <w:r w:rsidRPr="00407AE5">
        <w:rPr>
          <w:lang w:val="en-US"/>
        </w:rPr>
        <w:t xml:space="preserve"> N., Rowe</w:t>
      </w:r>
      <w:r w:rsidR="00BF12AA">
        <w:rPr>
          <w:lang w:val="en-US"/>
        </w:rPr>
        <w:t>,</w:t>
      </w:r>
      <w:r w:rsidRPr="00407AE5">
        <w:rPr>
          <w:lang w:val="en-US"/>
        </w:rPr>
        <w:t xml:space="preserve"> G.</w:t>
      </w:r>
      <w:r w:rsidR="00EE5C31" w:rsidRPr="00407AE5">
        <w:rPr>
          <w:lang w:val="en-US"/>
        </w:rPr>
        <w:t>,</w:t>
      </w:r>
      <w:r w:rsidR="00EE5C31">
        <w:rPr>
          <w:lang w:val="en-US"/>
        </w:rPr>
        <w:t xml:space="preserve"> </w:t>
      </w:r>
      <w:r w:rsidR="00EE5C31" w:rsidRPr="00407AE5">
        <w:rPr>
          <w:lang w:val="en-US"/>
        </w:rPr>
        <w:t>Tsotsos</w:t>
      </w:r>
      <w:r w:rsidR="00BF12AA">
        <w:rPr>
          <w:lang w:val="en-US"/>
        </w:rPr>
        <w:t>,</w:t>
      </w:r>
      <w:r w:rsidRPr="00407AE5">
        <w:rPr>
          <w:lang w:val="en-US"/>
        </w:rPr>
        <w:t xml:space="preserve"> L., Szczepura</w:t>
      </w:r>
      <w:r w:rsidR="00BF12AA">
        <w:rPr>
          <w:lang w:val="en-US"/>
        </w:rPr>
        <w:t>,</w:t>
      </w:r>
      <w:r w:rsidRPr="00407AE5">
        <w:rPr>
          <w:lang w:val="en-US"/>
        </w:rPr>
        <w:t xml:space="preserve"> A., Wittich</w:t>
      </w:r>
      <w:r w:rsidR="00BF12AA">
        <w:rPr>
          <w:lang w:val="en-US"/>
        </w:rPr>
        <w:t>,</w:t>
      </w:r>
      <w:r w:rsidRPr="00407AE5">
        <w:rPr>
          <w:lang w:val="en-US"/>
        </w:rPr>
        <w:t xml:space="preserve"> W., Xie F.,</w:t>
      </w:r>
      <w:r w:rsidR="00BF12AA">
        <w:rPr>
          <w:lang w:val="en-US"/>
        </w:rPr>
        <w:t xml:space="preserve"> &amp;</w:t>
      </w:r>
      <w:r w:rsidRPr="00407AE5">
        <w:rPr>
          <w:lang w:val="en-US"/>
        </w:rPr>
        <w:t xml:space="preserve"> Hasher</w:t>
      </w:r>
      <w:r w:rsidR="00BF12AA">
        <w:rPr>
          <w:lang w:val="en-US"/>
        </w:rPr>
        <w:t>,</w:t>
      </w:r>
      <w:r w:rsidRPr="00407AE5">
        <w:rPr>
          <w:lang w:val="en-US"/>
        </w:rPr>
        <w:t xml:space="preserve"> L. (2020). Accessible Virtual Arts Recreation for Wellbeing Promotion in Long-Term Care Residents. </w:t>
      </w:r>
      <w:r w:rsidRPr="00BF12AA">
        <w:rPr>
          <w:i/>
          <w:iCs/>
          <w:lang w:val="en-US"/>
        </w:rPr>
        <w:t xml:space="preserve">Journal of Applied </w:t>
      </w:r>
      <w:r w:rsidR="00BF12AA" w:rsidRPr="00BF12AA">
        <w:rPr>
          <w:i/>
          <w:iCs/>
          <w:lang w:val="en-US"/>
        </w:rPr>
        <w:t>Gerontology</w:t>
      </w:r>
      <w:r w:rsidRPr="00652EAB">
        <w:rPr>
          <w:lang w:val="en-GB"/>
        </w:rPr>
        <w:t>,</w:t>
      </w:r>
      <w:r w:rsidR="00BF12AA" w:rsidRPr="00652EAB">
        <w:rPr>
          <w:lang w:val="en-GB"/>
        </w:rPr>
        <w:t xml:space="preserve"> 40(5), 519-528</w:t>
      </w:r>
      <w:r w:rsidR="00BF12AA">
        <w:rPr>
          <w:lang w:val="en-GB"/>
        </w:rPr>
        <w:t xml:space="preserve">. </w:t>
      </w:r>
      <w:hyperlink r:id="rId34" w:history="1">
        <w:r w:rsidR="00BF12AA" w:rsidRPr="007C3554">
          <w:rPr>
            <w:rStyle w:val="Hyperlink"/>
            <w:lang w:val="en-GB"/>
          </w:rPr>
          <w:t>https://doi.org/10.1177/0733464820967195</w:t>
        </w:r>
      </w:hyperlink>
      <w:r w:rsidR="00BF12AA">
        <w:rPr>
          <w:lang w:val="en-GB"/>
        </w:rPr>
        <w:t xml:space="preserve"> </w:t>
      </w:r>
    </w:p>
    <w:p w14:paraId="36EFE1A3" w14:textId="77777777" w:rsidR="00FF1893" w:rsidRDefault="00A13759" w:rsidP="00FF1893">
      <w:pPr>
        <w:spacing w:after="0" w:line="276" w:lineRule="auto"/>
        <w:ind w:left="720" w:hanging="720"/>
        <w:rPr>
          <w:rFonts w:cs="Arial"/>
          <w:color w:val="231F20"/>
          <w:lang w:val="en-US"/>
        </w:rPr>
      </w:pPr>
      <w:r w:rsidRPr="00A13759">
        <w:rPr>
          <w:rFonts w:cs="Arial"/>
          <w:lang w:val="en-US"/>
        </w:rPr>
        <w:t>Pollanen, S. (2013).</w:t>
      </w:r>
      <w:r w:rsidRPr="00A13759">
        <w:rPr>
          <w:rFonts w:cs="Arial"/>
          <w:b/>
          <w:lang w:val="en-US"/>
        </w:rPr>
        <w:t xml:space="preserve"> </w:t>
      </w:r>
      <w:r w:rsidRPr="00A13759">
        <w:rPr>
          <w:rFonts w:cs="Arial"/>
          <w:lang w:val="en-US"/>
        </w:rPr>
        <w:t xml:space="preserve">The meaning of craft: Craft makers’ descriptions of craft as an occupation. </w:t>
      </w:r>
      <w:r w:rsidRPr="00FF1893">
        <w:rPr>
          <w:rFonts w:cs="Arial"/>
          <w:i/>
          <w:iCs/>
          <w:lang w:val="en-US"/>
        </w:rPr>
        <w:t>Scandinavian Journal of Occupational Therapy</w:t>
      </w:r>
      <w:r w:rsidR="00FF1893" w:rsidRPr="00FF1893">
        <w:rPr>
          <w:rFonts w:cs="Arial"/>
          <w:i/>
          <w:iCs/>
          <w:lang w:val="en-US"/>
        </w:rPr>
        <w:t xml:space="preserve">, </w:t>
      </w:r>
      <w:r w:rsidRPr="00FF1893">
        <w:rPr>
          <w:rFonts w:cs="Arial"/>
          <w:i/>
          <w:iCs/>
          <w:lang w:val="en-US"/>
        </w:rPr>
        <w:t>20</w:t>
      </w:r>
      <w:r w:rsidR="00FF1893" w:rsidRPr="00FF1893">
        <w:rPr>
          <w:rFonts w:cs="Arial"/>
          <w:lang w:val="en-US"/>
        </w:rPr>
        <w:t>(3)</w:t>
      </w:r>
      <w:r w:rsidR="00BF12AA">
        <w:rPr>
          <w:rFonts w:cs="Arial"/>
          <w:lang w:val="en-US"/>
        </w:rPr>
        <w:t xml:space="preserve">, </w:t>
      </w:r>
      <w:r w:rsidRPr="00A13759">
        <w:rPr>
          <w:rFonts w:cs="Arial"/>
          <w:lang w:val="en-US"/>
        </w:rPr>
        <w:t>217–227</w:t>
      </w:r>
      <w:r w:rsidR="00FF1893">
        <w:rPr>
          <w:rFonts w:cs="Arial"/>
          <w:lang w:val="en-US"/>
        </w:rPr>
        <w:t>.</w:t>
      </w:r>
      <w:r w:rsidRPr="00EF3827">
        <w:rPr>
          <w:rFonts w:cs="Arial"/>
          <w:color w:val="231F20"/>
          <w:lang w:val="en-US"/>
        </w:rPr>
        <w:t xml:space="preserve"> </w:t>
      </w:r>
      <w:hyperlink r:id="rId35" w:history="1">
        <w:r w:rsidR="00FF1893" w:rsidRPr="007C3554">
          <w:rPr>
            <w:rStyle w:val="Hyperlink"/>
            <w:rFonts w:cs="Arial"/>
            <w:lang w:val="en-US"/>
          </w:rPr>
          <w:t>https://doi.org/10.3109/11038128.2012.725182</w:t>
        </w:r>
      </w:hyperlink>
      <w:r w:rsidR="00FF1893">
        <w:rPr>
          <w:rFonts w:cs="Arial"/>
          <w:color w:val="231F20"/>
          <w:lang w:val="en-US"/>
        </w:rPr>
        <w:t xml:space="preserve"> </w:t>
      </w:r>
    </w:p>
    <w:p w14:paraId="43EC8BBB" w14:textId="77777777" w:rsidR="00FF1893" w:rsidRDefault="000A592F" w:rsidP="00FF1893">
      <w:pPr>
        <w:spacing w:after="0" w:line="276" w:lineRule="auto"/>
        <w:ind w:left="720" w:hanging="720"/>
        <w:rPr>
          <w:lang w:val="en-US"/>
        </w:rPr>
      </w:pPr>
      <w:r w:rsidRPr="000A592F">
        <w:rPr>
          <w:lang w:val="en-US"/>
        </w:rPr>
        <w:t>Psomos</w:t>
      </w:r>
      <w:r w:rsidR="00FF1893">
        <w:rPr>
          <w:lang w:val="en-US"/>
        </w:rPr>
        <w:t xml:space="preserve">, </w:t>
      </w:r>
      <w:r w:rsidRPr="000A592F">
        <w:rPr>
          <w:lang w:val="en-US"/>
        </w:rPr>
        <w:t>P.</w:t>
      </w:r>
      <w:r w:rsidR="00FF1893">
        <w:rPr>
          <w:lang w:val="en-US"/>
        </w:rPr>
        <w:t xml:space="preserve">, </w:t>
      </w:r>
      <w:r w:rsidRPr="000A592F">
        <w:rPr>
          <w:lang w:val="en-US"/>
        </w:rPr>
        <w:t>&amp; Kordaki</w:t>
      </w:r>
      <w:r w:rsidR="00FF1893">
        <w:rPr>
          <w:lang w:val="en-US"/>
        </w:rPr>
        <w:t>,</w:t>
      </w:r>
      <w:r w:rsidRPr="000A592F">
        <w:rPr>
          <w:lang w:val="en-US"/>
        </w:rPr>
        <w:t xml:space="preserve"> M. (2015). A Novel Educational Digital Storytelling Tool Focusing on Students Misconceptions. </w:t>
      </w:r>
      <w:r w:rsidRPr="00FF1893">
        <w:rPr>
          <w:i/>
          <w:iCs/>
          <w:lang w:val="en-US"/>
        </w:rPr>
        <w:t>Procedia - Social and Behavioral Sciences, 191</w:t>
      </w:r>
      <w:r w:rsidR="00FF1893">
        <w:rPr>
          <w:lang w:val="en-US"/>
        </w:rPr>
        <w:t xml:space="preserve">, </w:t>
      </w:r>
      <w:r w:rsidRPr="000A592F">
        <w:rPr>
          <w:lang w:val="en-US"/>
        </w:rPr>
        <w:t>82-86.</w:t>
      </w:r>
      <w:r w:rsidR="00FF1893">
        <w:rPr>
          <w:lang w:val="en-US"/>
        </w:rPr>
        <w:t xml:space="preserve"> </w:t>
      </w:r>
      <w:hyperlink r:id="rId36" w:history="1">
        <w:r w:rsidR="00FF1893" w:rsidRPr="007C3554">
          <w:rPr>
            <w:rStyle w:val="Hyperlink"/>
            <w:lang w:val="en-US"/>
          </w:rPr>
          <w:t>https://doi.org/10.1016/j.sbspro.2015.04.476</w:t>
        </w:r>
      </w:hyperlink>
      <w:r w:rsidR="00FF1893">
        <w:rPr>
          <w:lang w:val="en-US"/>
        </w:rPr>
        <w:t xml:space="preserve"> </w:t>
      </w:r>
    </w:p>
    <w:p w14:paraId="3B134D0C" w14:textId="77777777" w:rsidR="00FF1893" w:rsidRDefault="00522571" w:rsidP="00FF1893">
      <w:pPr>
        <w:spacing w:after="0" w:line="276" w:lineRule="auto"/>
        <w:ind w:left="720" w:hanging="720"/>
        <w:rPr>
          <w:lang w:val="en-US"/>
        </w:rPr>
      </w:pPr>
      <w:r w:rsidRPr="00522571">
        <w:rPr>
          <w:lang w:val="en-US"/>
        </w:rPr>
        <w:t>Roberts</w:t>
      </w:r>
      <w:r w:rsidR="00FF1893">
        <w:rPr>
          <w:lang w:val="en-US"/>
        </w:rPr>
        <w:t>,</w:t>
      </w:r>
      <w:r w:rsidRPr="00522571">
        <w:rPr>
          <w:lang w:val="en-US"/>
        </w:rPr>
        <w:t xml:space="preserve"> M</w:t>
      </w:r>
      <w:r>
        <w:rPr>
          <w:lang w:val="en-US"/>
        </w:rPr>
        <w:t>.</w:t>
      </w:r>
      <w:r w:rsidRPr="00522571">
        <w:rPr>
          <w:lang w:val="en-US"/>
        </w:rPr>
        <w:t>, Lobo</w:t>
      </w:r>
      <w:r w:rsidR="00FF1893">
        <w:rPr>
          <w:lang w:val="en-US"/>
        </w:rPr>
        <w:t>,</w:t>
      </w:r>
      <w:r w:rsidRPr="00522571">
        <w:rPr>
          <w:lang w:val="en-US"/>
        </w:rPr>
        <w:t xml:space="preserve"> R</w:t>
      </w:r>
      <w:r>
        <w:rPr>
          <w:lang w:val="en-US"/>
        </w:rPr>
        <w:t>.</w:t>
      </w:r>
      <w:r w:rsidRPr="00522571">
        <w:rPr>
          <w:lang w:val="en-US"/>
        </w:rPr>
        <w:t xml:space="preserve">, </w:t>
      </w:r>
      <w:r w:rsidR="00FF1893">
        <w:rPr>
          <w:lang w:val="en-US"/>
        </w:rPr>
        <w:t xml:space="preserve">&amp; </w:t>
      </w:r>
      <w:r w:rsidRPr="00522571">
        <w:rPr>
          <w:lang w:val="en-US"/>
        </w:rPr>
        <w:t>Sorenson</w:t>
      </w:r>
      <w:r w:rsidR="00FF1893">
        <w:rPr>
          <w:lang w:val="en-US"/>
        </w:rPr>
        <w:t>,</w:t>
      </w:r>
      <w:r w:rsidRPr="00522571">
        <w:rPr>
          <w:lang w:val="en-US"/>
        </w:rPr>
        <w:t xml:space="preserve"> A.</w:t>
      </w:r>
      <w:r>
        <w:rPr>
          <w:lang w:val="en-US"/>
        </w:rPr>
        <w:t xml:space="preserve"> (2017).</w:t>
      </w:r>
      <w:r w:rsidRPr="00522571">
        <w:rPr>
          <w:lang w:val="en-US"/>
        </w:rPr>
        <w:t xml:space="preserve"> Evaluating the Sharing Stories youth theatre program: an interactive theatre and drama-based strategy for sexual health promotion among multicultural youth. </w:t>
      </w:r>
      <w:r w:rsidRPr="00FF1893">
        <w:rPr>
          <w:i/>
          <w:iCs/>
          <w:lang w:val="en-US"/>
        </w:rPr>
        <w:t>Health Promotion Journal of Australia, 28</w:t>
      </w:r>
      <w:r w:rsidRPr="00522571">
        <w:rPr>
          <w:lang w:val="en-US"/>
        </w:rPr>
        <w:t>(1)</w:t>
      </w:r>
      <w:r w:rsidR="00FF1893">
        <w:rPr>
          <w:lang w:val="en-US"/>
        </w:rPr>
        <w:t xml:space="preserve">, </w:t>
      </w:r>
      <w:r w:rsidRPr="00522571">
        <w:rPr>
          <w:lang w:val="en-US"/>
        </w:rPr>
        <w:t xml:space="preserve">30-36. </w:t>
      </w:r>
      <w:hyperlink r:id="rId37" w:history="1">
        <w:r w:rsidR="00FF1893" w:rsidRPr="007C3554">
          <w:rPr>
            <w:rStyle w:val="Hyperlink"/>
            <w:lang w:val="en-US"/>
          </w:rPr>
          <w:t>https://doi.org/10.1071/HE15096</w:t>
        </w:r>
      </w:hyperlink>
      <w:r w:rsidR="00FF1893">
        <w:rPr>
          <w:lang w:val="en-US"/>
        </w:rPr>
        <w:t xml:space="preserve"> </w:t>
      </w:r>
    </w:p>
    <w:p w14:paraId="31C3681A" w14:textId="77777777" w:rsidR="00B970F7" w:rsidRDefault="00ED1FD4" w:rsidP="00B970F7">
      <w:pPr>
        <w:spacing w:after="0" w:line="276" w:lineRule="auto"/>
        <w:ind w:left="720" w:hanging="720"/>
        <w:rPr>
          <w:lang w:val="en-US"/>
        </w:rPr>
      </w:pPr>
      <w:r w:rsidRPr="00ED1FD4">
        <w:rPr>
          <w:lang w:val="en-US"/>
        </w:rPr>
        <w:t>Slattery</w:t>
      </w:r>
      <w:r w:rsidR="00FF1893">
        <w:rPr>
          <w:lang w:val="en-US"/>
        </w:rPr>
        <w:t>,</w:t>
      </w:r>
      <w:r w:rsidRPr="00ED1FD4">
        <w:rPr>
          <w:lang w:val="en-US"/>
        </w:rPr>
        <w:t xml:space="preserve"> M</w:t>
      </w:r>
      <w:r>
        <w:rPr>
          <w:lang w:val="en-US"/>
        </w:rPr>
        <w:t>.</w:t>
      </w:r>
      <w:r w:rsidRPr="00ED1FD4">
        <w:rPr>
          <w:lang w:val="en-US"/>
        </w:rPr>
        <w:t>, Attard</w:t>
      </w:r>
      <w:r w:rsidR="00FF1893">
        <w:rPr>
          <w:lang w:val="en-US"/>
        </w:rPr>
        <w:t>,</w:t>
      </w:r>
      <w:r w:rsidRPr="00ED1FD4">
        <w:rPr>
          <w:lang w:val="en-US"/>
        </w:rPr>
        <w:t xml:space="preserve"> H</w:t>
      </w:r>
      <w:r>
        <w:rPr>
          <w:lang w:val="en-US"/>
        </w:rPr>
        <w:t>.</w:t>
      </w:r>
      <w:r w:rsidRPr="00ED1FD4">
        <w:rPr>
          <w:lang w:val="en-US"/>
        </w:rPr>
        <w:t>, Stewart</w:t>
      </w:r>
      <w:r w:rsidR="00FF1893">
        <w:rPr>
          <w:lang w:val="en-US"/>
        </w:rPr>
        <w:t>,</w:t>
      </w:r>
      <w:r w:rsidRPr="00ED1FD4">
        <w:rPr>
          <w:lang w:val="en-US"/>
        </w:rPr>
        <w:t xml:space="preserve"> V</w:t>
      </w:r>
      <w:r>
        <w:rPr>
          <w:lang w:val="en-US"/>
        </w:rPr>
        <w:t>.</w:t>
      </w:r>
      <w:r w:rsidRPr="00ED1FD4">
        <w:rPr>
          <w:lang w:val="en-US"/>
        </w:rPr>
        <w:t>,</w:t>
      </w:r>
      <w:r w:rsidR="00FF1893">
        <w:rPr>
          <w:lang w:val="en-US"/>
        </w:rPr>
        <w:t xml:space="preserve"> </w:t>
      </w:r>
      <w:r w:rsidRPr="00ED1FD4">
        <w:rPr>
          <w:lang w:val="en-US"/>
        </w:rPr>
        <w:t>Roennfeldt</w:t>
      </w:r>
      <w:r w:rsidR="00FF1893">
        <w:rPr>
          <w:lang w:val="en-US"/>
        </w:rPr>
        <w:t>,</w:t>
      </w:r>
      <w:r w:rsidRPr="00ED1FD4">
        <w:rPr>
          <w:lang w:val="en-US"/>
        </w:rPr>
        <w:t xml:space="preserve"> H</w:t>
      </w:r>
      <w:r>
        <w:rPr>
          <w:lang w:val="en-US"/>
        </w:rPr>
        <w:t>.</w:t>
      </w:r>
      <w:r w:rsidRPr="00ED1FD4">
        <w:rPr>
          <w:lang w:val="en-US"/>
        </w:rPr>
        <w:t>,</w:t>
      </w:r>
      <w:r w:rsidR="00FF1893">
        <w:rPr>
          <w:lang w:val="en-US"/>
        </w:rPr>
        <w:t xml:space="preserve"> &amp;</w:t>
      </w:r>
      <w:r w:rsidRPr="00ED1FD4">
        <w:rPr>
          <w:lang w:val="en-US"/>
        </w:rPr>
        <w:t xml:space="preserve"> Wheeler</w:t>
      </w:r>
      <w:r w:rsidR="00FF1893">
        <w:rPr>
          <w:lang w:val="en-US"/>
        </w:rPr>
        <w:t>,</w:t>
      </w:r>
      <w:r w:rsidRPr="00ED1FD4">
        <w:rPr>
          <w:lang w:val="en-US"/>
        </w:rPr>
        <w:t xml:space="preserve"> A</w:t>
      </w:r>
      <w:r>
        <w:rPr>
          <w:lang w:val="en-US"/>
        </w:rPr>
        <w:t>.</w:t>
      </w:r>
      <w:r w:rsidRPr="00ED1FD4">
        <w:rPr>
          <w:lang w:val="en-US"/>
        </w:rPr>
        <w:t>J</w:t>
      </w:r>
      <w:r>
        <w:rPr>
          <w:lang w:val="en-US"/>
        </w:rPr>
        <w:t>.</w:t>
      </w:r>
      <w:r w:rsidRPr="00ED1FD4">
        <w:rPr>
          <w:lang w:val="en-US"/>
        </w:rPr>
        <w:t xml:space="preserve"> (2020)</w:t>
      </w:r>
      <w:r>
        <w:rPr>
          <w:lang w:val="en-US"/>
        </w:rPr>
        <w:t>.</w:t>
      </w:r>
      <w:r w:rsidRPr="00ED1FD4">
        <w:rPr>
          <w:lang w:val="en-US"/>
        </w:rPr>
        <w:t xml:space="preserve"> Participation in</w:t>
      </w:r>
      <w:r>
        <w:rPr>
          <w:lang w:val="en-US"/>
        </w:rPr>
        <w:t xml:space="preserve"> </w:t>
      </w:r>
      <w:r w:rsidRPr="00ED1FD4">
        <w:rPr>
          <w:lang w:val="en-US"/>
        </w:rPr>
        <w:t>creative workshops supports mental health</w:t>
      </w:r>
      <w:r>
        <w:rPr>
          <w:lang w:val="en-US"/>
        </w:rPr>
        <w:t xml:space="preserve"> </w:t>
      </w:r>
      <w:r w:rsidRPr="00ED1FD4">
        <w:rPr>
          <w:lang w:val="en-US"/>
        </w:rPr>
        <w:t>consumers to share their stories of recovery: A</w:t>
      </w:r>
      <w:r>
        <w:rPr>
          <w:lang w:val="en-US"/>
        </w:rPr>
        <w:t xml:space="preserve"> </w:t>
      </w:r>
      <w:r w:rsidRPr="00ED1FD4">
        <w:rPr>
          <w:lang w:val="en-US"/>
        </w:rPr>
        <w:t xml:space="preserve">one-year qualitative follow-up study. </w:t>
      </w:r>
      <w:r w:rsidRPr="00B970F7">
        <w:rPr>
          <w:i/>
          <w:iCs/>
          <w:lang w:val="en-US"/>
        </w:rPr>
        <w:t>PLoS ONE, 15</w:t>
      </w:r>
      <w:r w:rsidRPr="00ED1FD4">
        <w:rPr>
          <w:lang w:val="en-US"/>
        </w:rPr>
        <w:t>(12)</w:t>
      </w:r>
      <w:r w:rsidR="00B970F7">
        <w:rPr>
          <w:lang w:val="en-US"/>
        </w:rPr>
        <w:t xml:space="preserve">, </w:t>
      </w:r>
      <w:r w:rsidRPr="00ED1FD4">
        <w:rPr>
          <w:lang w:val="en-US"/>
        </w:rPr>
        <w:t>e0243284.</w:t>
      </w:r>
      <w:r w:rsidR="00FF1893" w:rsidRPr="00B970F7">
        <w:rPr>
          <w:lang w:val="en-GB"/>
        </w:rPr>
        <w:t xml:space="preserve"> </w:t>
      </w:r>
      <w:hyperlink r:id="rId38" w:history="1">
        <w:r w:rsidR="00FF1893" w:rsidRPr="007C3554">
          <w:rPr>
            <w:rStyle w:val="Hyperlink"/>
            <w:lang w:val="en-US"/>
          </w:rPr>
          <w:t>https://doi.org/10.1371/journal.pone.0243284</w:t>
        </w:r>
      </w:hyperlink>
      <w:r w:rsidR="00FF1893">
        <w:rPr>
          <w:lang w:val="en-US"/>
        </w:rPr>
        <w:t xml:space="preserve"> </w:t>
      </w:r>
    </w:p>
    <w:p w14:paraId="4A04DE87" w14:textId="77777777" w:rsidR="00B970F7" w:rsidRDefault="001F71AD" w:rsidP="00B970F7">
      <w:pPr>
        <w:spacing w:after="0" w:line="276" w:lineRule="auto"/>
        <w:ind w:left="720" w:hanging="720"/>
        <w:rPr>
          <w:lang w:val="en-US"/>
        </w:rPr>
      </w:pPr>
      <w:r w:rsidRPr="001F71AD">
        <w:rPr>
          <w:lang w:val="en-US"/>
        </w:rPr>
        <w:t>Todd</w:t>
      </w:r>
      <w:r w:rsidR="00B970F7">
        <w:rPr>
          <w:lang w:val="en-US"/>
        </w:rPr>
        <w:t>,</w:t>
      </w:r>
      <w:r>
        <w:rPr>
          <w:lang w:val="en-US"/>
        </w:rPr>
        <w:t xml:space="preserve"> </w:t>
      </w:r>
      <w:r w:rsidRPr="001F71AD">
        <w:rPr>
          <w:lang w:val="en-US"/>
        </w:rPr>
        <w:t>C., Camic</w:t>
      </w:r>
      <w:r w:rsidR="00B970F7">
        <w:rPr>
          <w:lang w:val="en-US"/>
        </w:rPr>
        <w:t>,</w:t>
      </w:r>
      <w:r w:rsidRPr="001F71AD">
        <w:rPr>
          <w:lang w:val="en-US"/>
        </w:rPr>
        <w:t xml:space="preserve"> P.M., Lockyer</w:t>
      </w:r>
      <w:r w:rsidR="00B970F7">
        <w:rPr>
          <w:lang w:val="en-US"/>
        </w:rPr>
        <w:t>,</w:t>
      </w:r>
      <w:r w:rsidRPr="001F71AD">
        <w:rPr>
          <w:lang w:val="en-US"/>
        </w:rPr>
        <w:t xml:space="preserve"> B., Thomson, L.J.M., &amp;</w:t>
      </w:r>
      <w:r>
        <w:rPr>
          <w:lang w:val="en-US"/>
        </w:rPr>
        <w:t xml:space="preserve"> </w:t>
      </w:r>
      <w:r w:rsidRPr="001F71AD">
        <w:rPr>
          <w:lang w:val="en-US"/>
        </w:rPr>
        <w:t>Chatterjee H.J. (2017). Museum-based programs for</w:t>
      </w:r>
      <w:r>
        <w:rPr>
          <w:lang w:val="en-US"/>
        </w:rPr>
        <w:t xml:space="preserve"> </w:t>
      </w:r>
      <w:r w:rsidRPr="001F71AD">
        <w:rPr>
          <w:lang w:val="en-US"/>
        </w:rPr>
        <w:t>socially isolated older adults: Understanding what works</w:t>
      </w:r>
      <w:r w:rsidRPr="00B970F7">
        <w:rPr>
          <w:i/>
          <w:iCs/>
          <w:lang w:val="en-US"/>
        </w:rPr>
        <w:t>. Health &amp; Place, 48</w:t>
      </w:r>
      <w:r w:rsidRPr="001F71AD">
        <w:rPr>
          <w:lang w:val="en-US"/>
        </w:rPr>
        <w:t xml:space="preserve">, 47–55. </w:t>
      </w:r>
      <w:hyperlink r:id="rId39" w:history="1">
        <w:r w:rsidR="008B7ED7" w:rsidRPr="001E194A">
          <w:rPr>
            <w:rStyle w:val="Hyperlink"/>
            <w:lang w:val="en-US"/>
          </w:rPr>
          <w:t>https://doi.org/10.1016/j.healthplace.2017.08.005</w:t>
        </w:r>
      </w:hyperlink>
    </w:p>
    <w:p w14:paraId="6D045CAA" w14:textId="77777777" w:rsidR="005D78DE" w:rsidRDefault="005D78DE" w:rsidP="00B970F7">
      <w:pPr>
        <w:spacing w:after="0" w:line="276" w:lineRule="auto"/>
        <w:ind w:left="720" w:hanging="720"/>
        <w:rPr>
          <w:rFonts w:cs="Arial"/>
          <w:lang w:val="en-US"/>
        </w:rPr>
      </w:pPr>
    </w:p>
    <w:p w14:paraId="1D835947" w14:textId="77777777" w:rsidR="005D78DE" w:rsidRDefault="005D78DE" w:rsidP="00B970F7">
      <w:pPr>
        <w:spacing w:after="0" w:line="276" w:lineRule="auto"/>
        <w:ind w:left="720" w:hanging="720"/>
        <w:rPr>
          <w:rFonts w:cs="Arial"/>
          <w:lang w:val="en-US"/>
        </w:rPr>
      </w:pPr>
    </w:p>
    <w:p w14:paraId="790ED9AB" w14:textId="77777777" w:rsidR="005D78DE" w:rsidRDefault="005D78DE" w:rsidP="00B970F7">
      <w:pPr>
        <w:spacing w:after="0" w:line="276" w:lineRule="auto"/>
        <w:ind w:left="720" w:hanging="720"/>
        <w:rPr>
          <w:rFonts w:cs="Arial"/>
          <w:lang w:val="en-US"/>
        </w:rPr>
      </w:pPr>
    </w:p>
    <w:p w14:paraId="1EFDD49F" w14:textId="77777777" w:rsidR="005D78DE" w:rsidRDefault="005D78DE" w:rsidP="00B970F7">
      <w:pPr>
        <w:spacing w:after="0" w:line="276" w:lineRule="auto"/>
        <w:ind w:left="720" w:hanging="720"/>
        <w:rPr>
          <w:rFonts w:cs="Arial"/>
          <w:lang w:val="en-US"/>
        </w:rPr>
      </w:pPr>
    </w:p>
    <w:p w14:paraId="11342DEB" w14:textId="77777777" w:rsidR="006316DE" w:rsidRDefault="006316DE" w:rsidP="007C789F">
      <w:pPr>
        <w:spacing w:after="0" w:line="276" w:lineRule="auto"/>
        <w:ind w:left="720" w:hanging="720"/>
        <w:rPr>
          <w:rFonts w:cs="Arial"/>
          <w:lang w:val="en-US"/>
        </w:rPr>
      </w:pPr>
    </w:p>
    <w:p w14:paraId="4CA62398" w14:textId="0D8061CA" w:rsidR="007C789F" w:rsidRDefault="008B7ED7" w:rsidP="007C789F">
      <w:pPr>
        <w:spacing w:after="0" w:line="276" w:lineRule="auto"/>
        <w:ind w:left="720" w:hanging="720"/>
        <w:rPr>
          <w:lang w:val="en-GB"/>
        </w:rPr>
      </w:pPr>
      <w:proofErr w:type="spellStart"/>
      <w:r w:rsidRPr="008B7ED7">
        <w:rPr>
          <w:rFonts w:cs="Arial"/>
          <w:lang w:val="en-US"/>
        </w:rPr>
        <w:t>Tymoszuk</w:t>
      </w:r>
      <w:proofErr w:type="spellEnd"/>
      <w:r w:rsidRPr="008B7ED7">
        <w:rPr>
          <w:rFonts w:cs="Arial"/>
          <w:lang w:val="en-US"/>
        </w:rPr>
        <w:t>, U., Spiro, N., Perkins, R., Bertrand, A., Gee, K.,</w:t>
      </w:r>
      <w:r w:rsidR="00B970F7">
        <w:rPr>
          <w:rFonts w:cs="Arial"/>
          <w:lang w:val="en-US"/>
        </w:rPr>
        <w:t xml:space="preserve"> &amp;</w:t>
      </w:r>
      <w:r w:rsidRPr="008B7ED7">
        <w:rPr>
          <w:rFonts w:cs="Arial"/>
          <w:lang w:val="en-US"/>
        </w:rPr>
        <w:t xml:space="preserve"> Williamon, A. (2021).</w:t>
      </w:r>
      <w:r w:rsidRPr="008B7ED7">
        <w:rPr>
          <w:rFonts w:cs="Arial"/>
          <w:b/>
          <w:lang w:val="en-US"/>
        </w:rPr>
        <w:t xml:space="preserve"> </w:t>
      </w:r>
      <w:r w:rsidRPr="008B7ED7">
        <w:rPr>
          <w:rFonts w:cs="Arial"/>
          <w:lang w:val="en-US"/>
        </w:rPr>
        <w:t xml:space="preserve">Arts engagement trends in the United Kingdom and their mental and social wellbeing implications: </w:t>
      </w:r>
      <w:r w:rsidR="00B970F7" w:rsidRPr="00B970F7">
        <w:rPr>
          <w:rStyle w:val="Emphasis"/>
          <w:rFonts w:ascii="Helvetica" w:hAnsi="Helvetica" w:cs="Helvetica"/>
          <w:i w:val="0"/>
          <w:iCs w:val="0"/>
          <w:color w:val="202020"/>
          <w:sz w:val="20"/>
          <w:szCs w:val="20"/>
          <w:shd w:val="clear" w:color="auto" w:fill="FFFFFF"/>
          <w:lang w:val="en-GB"/>
        </w:rPr>
        <w:t>HEartS Survey</w:t>
      </w:r>
      <w:r w:rsidR="00B970F7" w:rsidRPr="00B970F7">
        <w:rPr>
          <w:rFonts w:ascii="Helvetica" w:hAnsi="Helvetica" w:cs="Helvetica"/>
          <w:i/>
          <w:iCs/>
          <w:color w:val="202020"/>
          <w:sz w:val="20"/>
          <w:szCs w:val="20"/>
          <w:shd w:val="clear" w:color="auto" w:fill="FFFFFF"/>
          <w:lang w:val="en-GB"/>
        </w:rPr>
        <w:t xml:space="preserve">. </w:t>
      </w:r>
      <w:proofErr w:type="spellStart"/>
      <w:r w:rsidR="00B970F7" w:rsidRPr="00652EAB">
        <w:rPr>
          <w:rFonts w:ascii="Helvetica" w:hAnsi="Helvetica" w:cs="Helvetica"/>
          <w:i/>
          <w:iCs/>
          <w:color w:val="202020"/>
          <w:sz w:val="20"/>
          <w:szCs w:val="20"/>
          <w:shd w:val="clear" w:color="auto" w:fill="FFFFFF"/>
          <w:lang w:val="en-GB"/>
        </w:rPr>
        <w:t>PLoS</w:t>
      </w:r>
      <w:proofErr w:type="spellEnd"/>
      <w:r w:rsidR="00B970F7" w:rsidRPr="00652EAB">
        <w:rPr>
          <w:rFonts w:ascii="Helvetica" w:hAnsi="Helvetica" w:cs="Helvetica"/>
          <w:i/>
          <w:iCs/>
          <w:color w:val="202020"/>
          <w:sz w:val="20"/>
          <w:szCs w:val="20"/>
          <w:shd w:val="clear" w:color="auto" w:fill="FFFFFF"/>
          <w:lang w:val="en-GB"/>
        </w:rPr>
        <w:t xml:space="preserve"> ONE</w:t>
      </w:r>
      <w:r w:rsidR="00B970F7" w:rsidRPr="00B970F7">
        <w:rPr>
          <w:rFonts w:ascii="Helvetica" w:hAnsi="Helvetica" w:cs="Helvetica"/>
          <w:i/>
          <w:iCs/>
          <w:color w:val="202020"/>
          <w:sz w:val="20"/>
          <w:szCs w:val="20"/>
          <w:shd w:val="clear" w:color="auto" w:fill="FFFFFF"/>
          <w:lang w:val="en-GB"/>
        </w:rPr>
        <w:t xml:space="preserve">, </w:t>
      </w:r>
      <w:r w:rsidR="00B970F7" w:rsidRPr="00652EAB">
        <w:rPr>
          <w:rFonts w:ascii="Helvetica" w:hAnsi="Helvetica" w:cs="Helvetica"/>
          <w:i/>
          <w:iCs/>
          <w:color w:val="202020"/>
          <w:sz w:val="20"/>
          <w:szCs w:val="20"/>
          <w:shd w:val="clear" w:color="auto" w:fill="FFFFFF"/>
          <w:lang w:val="en-GB"/>
        </w:rPr>
        <w:t>16(</w:t>
      </w:r>
      <w:r w:rsidR="00B970F7" w:rsidRPr="00652EAB">
        <w:rPr>
          <w:rFonts w:ascii="Helvetica" w:hAnsi="Helvetica" w:cs="Helvetica"/>
          <w:color w:val="202020"/>
          <w:sz w:val="20"/>
          <w:szCs w:val="20"/>
          <w:shd w:val="clear" w:color="auto" w:fill="FFFFFF"/>
          <w:lang w:val="en-GB"/>
        </w:rPr>
        <w:t>3)</w:t>
      </w:r>
      <w:r w:rsidR="00B970F7">
        <w:rPr>
          <w:rFonts w:ascii="Helvetica" w:hAnsi="Helvetica" w:cs="Helvetica"/>
          <w:color w:val="202020"/>
          <w:sz w:val="20"/>
          <w:szCs w:val="20"/>
          <w:shd w:val="clear" w:color="auto" w:fill="FFFFFF"/>
          <w:lang w:val="en-GB"/>
        </w:rPr>
        <w:t xml:space="preserve">, </w:t>
      </w:r>
      <w:r w:rsidR="00B970F7" w:rsidRPr="00652EAB">
        <w:rPr>
          <w:rFonts w:ascii="Helvetica" w:hAnsi="Helvetica" w:cs="Helvetica"/>
          <w:color w:val="202020"/>
          <w:sz w:val="20"/>
          <w:szCs w:val="20"/>
          <w:shd w:val="clear" w:color="auto" w:fill="FFFFFF"/>
          <w:lang w:val="en-GB"/>
        </w:rPr>
        <w:t>e0246078</w:t>
      </w:r>
      <w:r w:rsidRPr="008B7ED7">
        <w:rPr>
          <w:rFonts w:cs="Arial"/>
          <w:lang w:val="en-US"/>
        </w:rPr>
        <w:t xml:space="preserve">. </w:t>
      </w:r>
      <w:hyperlink r:id="rId40" w:history="1">
        <w:r w:rsidR="00B970F7" w:rsidRPr="007C3554">
          <w:rPr>
            <w:rStyle w:val="Hyperlink"/>
            <w:lang w:val="en-GB"/>
          </w:rPr>
          <w:t>https://doi.org/10.1371/journal.pone.0246078</w:t>
        </w:r>
      </w:hyperlink>
      <w:r w:rsidR="00B970F7">
        <w:rPr>
          <w:lang w:val="en-GB"/>
        </w:rPr>
        <w:t xml:space="preserve"> </w:t>
      </w:r>
    </w:p>
    <w:p w14:paraId="0F6A8C43" w14:textId="1E62BAD4" w:rsidR="005E55AE" w:rsidRPr="005D78DE" w:rsidRDefault="00EC59B0" w:rsidP="007C789F">
      <w:pPr>
        <w:spacing w:after="0" w:line="276" w:lineRule="auto"/>
        <w:ind w:left="720" w:hanging="720"/>
        <w:rPr>
          <w:lang w:val="en-GB"/>
        </w:rPr>
      </w:pPr>
      <w:r>
        <w:rPr>
          <w:lang w:val="en-US"/>
        </w:rPr>
        <w:t xml:space="preserve">University of the arts (2021). </w:t>
      </w:r>
      <w:r w:rsidRPr="00B970F7">
        <w:rPr>
          <w:i/>
          <w:iCs/>
          <w:lang w:val="en-US"/>
        </w:rPr>
        <w:t>Undergraduate programs</w:t>
      </w:r>
      <w:r>
        <w:rPr>
          <w:lang w:val="en-US"/>
        </w:rPr>
        <w:t xml:space="preserve">. </w:t>
      </w:r>
      <w:hyperlink r:id="rId41" w:history="1">
        <w:r w:rsidR="00690A24" w:rsidRPr="00075A21">
          <w:rPr>
            <w:rStyle w:val="Hyperlink"/>
            <w:lang w:val="en-US"/>
          </w:rPr>
          <w:t>https://www.uarts.edu/academics/undergraduate-programs</w:t>
        </w:r>
      </w:hyperlink>
    </w:p>
    <w:p w14:paraId="62250816" w14:textId="4E1ED1FC" w:rsidR="00B970F7" w:rsidRDefault="001F0737" w:rsidP="00B970F7">
      <w:pPr>
        <w:spacing w:after="0" w:line="276" w:lineRule="auto"/>
        <w:ind w:left="720" w:hanging="720"/>
        <w:rPr>
          <w:lang w:val="en-GB"/>
        </w:rPr>
      </w:pPr>
      <w:r w:rsidRPr="001F0737">
        <w:rPr>
          <w:lang w:val="en-US"/>
        </w:rPr>
        <w:t>White</w:t>
      </w:r>
      <w:r w:rsidR="00B970F7">
        <w:rPr>
          <w:lang w:val="en-US"/>
        </w:rPr>
        <w:t>,</w:t>
      </w:r>
      <w:r w:rsidRPr="001F0737">
        <w:rPr>
          <w:lang w:val="en-US"/>
        </w:rPr>
        <w:t xml:space="preserve"> M. </w:t>
      </w:r>
      <w:r>
        <w:rPr>
          <w:lang w:val="en-US"/>
        </w:rPr>
        <w:t xml:space="preserve">(2006). </w:t>
      </w:r>
      <w:r w:rsidRPr="001F0737">
        <w:rPr>
          <w:lang w:val="en-US"/>
        </w:rPr>
        <w:t>Establishing common ground in community-based arts in health. Journal of the Royal Society for the Promotion of Health</w:t>
      </w:r>
      <w:r>
        <w:rPr>
          <w:lang w:val="en-US"/>
        </w:rPr>
        <w:t xml:space="preserve">, </w:t>
      </w:r>
      <w:r w:rsidRPr="001F0737">
        <w:rPr>
          <w:lang w:val="en-US"/>
        </w:rPr>
        <w:t>126(3):</w:t>
      </w:r>
      <w:r>
        <w:rPr>
          <w:lang w:val="en-US"/>
        </w:rPr>
        <w:t xml:space="preserve"> </w:t>
      </w:r>
      <w:r w:rsidRPr="001F0737">
        <w:rPr>
          <w:lang w:val="en-US"/>
        </w:rPr>
        <w:t xml:space="preserve">128-133. </w:t>
      </w:r>
      <w:hyperlink r:id="rId42" w:history="1">
        <w:r w:rsidR="00B970F7" w:rsidRPr="007C3554">
          <w:rPr>
            <w:rStyle w:val="Hyperlink"/>
            <w:lang w:val="en-US"/>
          </w:rPr>
          <w:t>https://doi.org/10.1177/1466424006064302</w:t>
        </w:r>
      </w:hyperlink>
    </w:p>
    <w:p w14:paraId="3387A0A7" w14:textId="77777777" w:rsidR="00B970F7" w:rsidRPr="00652EAB" w:rsidRDefault="00B962D8" w:rsidP="00B970F7">
      <w:pPr>
        <w:spacing w:after="0" w:line="276" w:lineRule="auto"/>
        <w:ind w:left="720" w:hanging="720"/>
      </w:pPr>
      <w:r>
        <w:rPr>
          <w:lang w:val="en-US"/>
        </w:rPr>
        <w:t xml:space="preserve">W.H.O. (1998). </w:t>
      </w:r>
      <w:r w:rsidRPr="00B970F7">
        <w:rPr>
          <w:i/>
          <w:iCs/>
          <w:lang w:val="en-US"/>
        </w:rPr>
        <w:t>Health Promotion overview</w:t>
      </w:r>
      <w:r>
        <w:rPr>
          <w:lang w:val="en-US"/>
        </w:rPr>
        <w:t xml:space="preserve">. Health Promotion Glossary. </w:t>
      </w:r>
      <w:hyperlink r:id="rId43" w:anchor="tab=tab_1" w:history="1">
        <w:r w:rsidR="00B970F7" w:rsidRPr="007C3554">
          <w:rPr>
            <w:rStyle w:val="Hyperlink"/>
            <w:lang w:val="en-US"/>
          </w:rPr>
          <w:t>https</w:t>
        </w:r>
        <w:r w:rsidR="00B970F7" w:rsidRPr="00652EAB">
          <w:rPr>
            <w:rStyle w:val="Hyperlink"/>
          </w:rPr>
          <w:t>://</w:t>
        </w:r>
        <w:r w:rsidR="00B970F7" w:rsidRPr="007C3554">
          <w:rPr>
            <w:rStyle w:val="Hyperlink"/>
            <w:lang w:val="en-US"/>
          </w:rPr>
          <w:t>www</w:t>
        </w:r>
        <w:r w:rsidR="00B970F7" w:rsidRPr="00652EAB">
          <w:rPr>
            <w:rStyle w:val="Hyperlink"/>
          </w:rPr>
          <w:t>.</w:t>
        </w:r>
        <w:r w:rsidR="00B970F7" w:rsidRPr="007C3554">
          <w:rPr>
            <w:rStyle w:val="Hyperlink"/>
            <w:lang w:val="en-US"/>
          </w:rPr>
          <w:t>who</w:t>
        </w:r>
        <w:r w:rsidR="00B970F7" w:rsidRPr="00652EAB">
          <w:rPr>
            <w:rStyle w:val="Hyperlink"/>
          </w:rPr>
          <w:t>.</w:t>
        </w:r>
        <w:r w:rsidR="00B970F7" w:rsidRPr="007C3554">
          <w:rPr>
            <w:rStyle w:val="Hyperlink"/>
            <w:lang w:val="en-US"/>
          </w:rPr>
          <w:t>int</w:t>
        </w:r>
        <w:r w:rsidR="00B970F7" w:rsidRPr="00652EAB">
          <w:rPr>
            <w:rStyle w:val="Hyperlink"/>
          </w:rPr>
          <w:t>/</w:t>
        </w:r>
        <w:r w:rsidR="00B970F7" w:rsidRPr="007C3554">
          <w:rPr>
            <w:rStyle w:val="Hyperlink"/>
            <w:lang w:val="en-US"/>
          </w:rPr>
          <w:t>health</w:t>
        </w:r>
        <w:r w:rsidR="00B970F7" w:rsidRPr="00652EAB">
          <w:rPr>
            <w:rStyle w:val="Hyperlink"/>
          </w:rPr>
          <w:t>-</w:t>
        </w:r>
        <w:r w:rsidR="00B970F7" w:rsidRPr="007C3554">
          <w:rPr>
            <w:rStyle w:val="Hyperlink"/>
            <w:lang w:val="en-US"/>
          </w:rPr>
          <w:t>topics</w:t>
        </w:r>
        <w:r w:rsidR="00B970F7" w:rsidRPr="00652EAB">
          <w:rPr>
            <w:rStyle w:val="Hyperlink"/>
          </w:rPr>
          <w:t>/</w:t>
        </w:r>
        <w:r w:rsidR="00B970F7" w:rsidRPr="007C3554">
          <w:rPr>
            <w:rStyle w:val="Hyperlink"/>
            <w:lang w:val="en-US"/>
          </w:rPr>
          <w:t>health</w:t>
        </w:r>
        <w:r w:rsidR="00B970F7" w:rsidRPr="00652EAB">
          <w:rPr>
            <w:rStyle w:val="Hyperlink"/>
          </w:rPr>
          <w:t>-</w:t>
        </w:r>
        <w:r w:rsidR="00B970F7" w:rsidRPr="007C3554">
          <w:rPr>
            <w:rStyle w:val="Hyperlink"/>
            <w:lang w:val="en-US"/>
          </w:rPr>
          <w:t>promotion</w:t>
        </w:r>
        <w:r w:rsidR="00B970F7" w:rsidRPr="00652EAB">
          <w:rPr>
            <w:rStyle w:val="Hyperlink"/>
          </w:rPr>
          <w:t>#</w:t>
        </w:r>
        <w:r w:rsidR="00B970F7" w:rsidRPr="007C3554">
          <w:rPr>
            <w:rStyle w:val="Hyperlink"/>
            <w:lang w:val="en-US"/>
          </w:rPr>
          <w:t>tab</w:t>
        </w:r>
        <w:r w:rsidR="00B970F7" w:rsidRPr="00652EAB">
          <w:rPr>
            <w:rStyle w:val="Hyperlink"/>
          </w:rPr>
          <w:t>=</w:t>
        </w:r>
        <w:r w:rsidR="00B970F7" w:rsidRPr="007C3554">
          <w:rPr>
            <w:rStyle w:val="Hyperlink"/>
            <w:lang w:val="en-US"/>
          </w:rPr>
          <w:t>tab</w:t>
        </w:r>
        <w:r w:rsidR="00B970F7" w:rsidRPr="00652EAB">
          <w:rPr>
            <w:rStyle w:val="Hyperlink"/>
          </w:rPr>
          <w:t>_1</w:t>
        </w:r>
      </w:hyperlink>
      <w:r w:rsidR="00B970F7" w:rsidRPr="00652EAB">
        <w:t xml:space="preserve"> </w:t>
      </w:r>
    </w:p>
    <w:p w14:paraId="0086B08F" w14:textId="77777777" w:rsidR="006D777B" w:rsidRPr="00652EAB" w:rsidRDefault="008D1AB8" w:rsidP="006D777B">
      <w:pPr>
        <w:spacing w:after="0" w:line="276" w:lineRule="auto"/>
        <w:ind w:left="720" w:hanging="720"/>
      </w:pPr>
      <w:r>
        <w:rPr>
          <w:lang w:val="en-US"/>
        </w:rPr>
        <w:t>W.H.O</w:t>
      </w:r>
      <w:r w:rsidR="00C652FC">
        <w:rPr>
          <w:lang w:val="en-US"/>
        </w:rPr>
        <w:t>. (2018</w:t>
      </w:r>
      <w:r>
        <w:rPr>
          <w:lang w:val="en-US"/>
        </w:rPr>
        <w:t>)</w:t>
      </w:r>
      <w:r w:rsidR="00B970F7">
        <w:rPr>
          <w:lang w:val="en-US"/>
        </w:rPr>
        <w:t xml:space="preserve">. </w:t>
      </w:r>
      <w:r>
        <w:rPr>
          <w:lang w:val="en-US"/>
        </w:rPr>
        <w:t>Promoting health: Guide to national implementation of the Shanghai Declaration</w:t>
      </w:r>
      <w:r w:rsidR="00EF61EB">
        <w:rPr>
          <w:lang w:val="en-US"/>
        </w:rPr>
        <w:t xml:space="preserve">. </w:t>
      </w:r>
      <w:hyperlink r:id="rId44" w:history="1">
        <w:r w:rsidR="006D777B" w:rsidRPr="007C3554">
          <w:rPr>
            <w:rStyle w:val="Hyperlink"/>
            <w:shd w:val="clear" w:color="auto" w:fill="FFFFFF"/>
            <w:lang w:val="en-US"/>
          </w:rPr>
          <w:t>https</w:t>
        </w:r>
        <w:r w:rsidR="006D777B" w:rsidRPr="00652EAB">
          <w:rPr>
            <w:rStyle w:val="Hyperlink"/>
            <w:shd w:val="clear" w:color="auto" w:fill="FFFFFF"/>
          </w:rPr>
          <w:t>://</w:t>
        </w:r>
        <w:r w:rsidR="006D777B" w:rsidRPr="007C3554">
          <w:rPr>
            <w:rStyle w:val="Hyperlink"/>
            <w:shd w:val="clear" w:color="auto" w:fill="FFFFFF"/>
            <w:lang w:val="en-US"/>
          </w:rPr>
          <w:t>apps</w:t>
        </w:r>
        <w:r w:rsidR="006D777B" w:rsidRPr="00652EAB">
          <w:rPr>
            <w:rStyle w:val="Hyperlink"/>
            <w:shd w:val="clear" w:color="auto" w:fill="FFFFFF"/>
          </w:rPr>
          <w:t>.</w:t>
        </w:r>
        <w:r w:rsidR="006D777B" w:rsidRPr="007C3554">
          <w:rPr>
            <w:rStyle w:val="Hyperlink"/>
            <w:shd w:val="clear" w:color="auto" w:fill="FFFFFF"/>
            <w:lang w:val="en-US"/>
          </w:rPr>
          <w:t>who</w:t>
        </w:r>
        <w:r w:rsidR="006D777B" w:rsidRPr="00652EAB">
          <w:rPr>
            <w:rStyle w:val="Hyperlink"/>
            <w:shd w:val="clear" w:color="auto" w:fill="FFFFFF"/>
          </w:rPr>
          <w:t>.</w:t>
        </w:r>
        <w:r w:rsidR="006D777B" w:rsidRPr="007C3554">
          <w:rPr>
            <w:rStyle w:val="Hyperlink"/>
            <w:shd w:val="clear" w:color="auto" w:fill="FFFFFF"/>
            <w:lang w:val="en-US"/>
          </w:rPr>
          <w:t>int</w:t>
        </w:r>
        <w:r w:rsidR="006D777B" w:rsidRPr="00652EAB">
          <w:rPr>
            <w:rStyle w:val="Hyperlink"/>
            <w:shd w:val="clear" w:color="auto" w:fill="FFFFFF"/>
          </w:rPr>
          <w:t>/</w:t>
        </w:r>
        <w:r w:rsidR="006D777B" w:rsidRPr="007C3554">
          <w:rPr>
            <w:rStyle w:val="Hyperlink"/>
            <w:shd w:val="clear" w:color="auto" w:fill="FFFFFF"/>
            <w:lang w:val="en-US"/>
          </w:rPr>
          <w:t>iris</w:t>
        </w:r>
        <w:r w:rsidR="006D777B" w:rsidRPr="00652EAB">
          <w:rPr>
            <w:rStyle w:val="Hyperlink"/>
            <w:shd w:val="clear" w:color="auto" w:fill="FFFFFF"/>
          </w:rPr>
          <w:t>/</w:t>
        </w:r>
        <w:r w:rsidR="006D777B" w:rsidRPr="007C3554">
          <w:rPr>
            <w:rStyle w:val="Hyperlink"/>
            <w:shd w:val="clear" w:color="auto" w:fill="FFFFFF"/>
            <w:lang w:val="en-US"/>
          </w:rPr>
          <w:t>bitstream</w:t>
        </w:r>
        <w:r w:rsidR="006D777B" w:rsidRPr="00652EAB">
          <w:rPr>
            <w:rStyle w:val="Hyperlink"/>
            <w:shd w:val="clear" w:color="auto" w:fill="FFFFFF"/>
          </w:rPr>
          <w:t>/</w:t>
        </w:r>
        <w:r w:rsidR="006D777B" w:rsidRPr="007C3554">
          <w:rPr>
            <w:rStyle w:val="Hyperlink"/>
            <w:shd w:val="clear" w:color="auto" w:fill="FFFFFF"/>
            <w:lang w:val="en-US"/>
          </w:rPr>
          <w:t>handle</w:t>
        </w:r>
        <w:r w:rsidR="006D777B" w:rsidRPr="00652EAB">
          <w:rPr>
            <w:rStyle w:val="Hyperlink"/>
            <w:shd w:val="clear" w:color="auto" w:fill="FFFFFF"/>
          </w:rPr>
          <w:t>/10665/260172/</w:t>
        </w:r>
        <w:r w:rsidR="006D777B" w:rsidRPr="007C3554">
          <w:rPr>
            <w:rStyle w:val="Hyperlink"/>
            <w:shd w:val="clear" w:color="auto" w:fill="FFFFFF"/>
            <w:lang w:val="en-US"/>
          </w:rPr>
          <w:t>WHO</w:t>
        </w:r>
        <w:r w:rsidR="006D777B" w:rsidRPr="00652EAB">
          <w:rPr>
            <w:rStyle w:val="Hyperlink"/>
            <w:shd w:val="clear" w:color="auto" w:fill="FFFFFF"/>
          </w:rPr>
          <w:t>-</w:t>
        </w:r>
        <w:r w:rsidR="006D777B" w:rsidRPr="007C3554">
          <w:rPr>
            <w:rStyle w:val="Hyperlink"/>
            <w:shd w:val="clear" w:color="auto" w:fill="FFFFFF"/>
            <w:lang w:val="en-US"/>
          </w:rPr>
          <w:t>NMH</w:t>
        </w:r>
        <w:r w:rsidR="006D777B" w:rsidRPr="00652EAB">
          <w:rPr>
            <w:rStyle w:val="Hyperlink"/>
            <w:shd w:val="clear" w:color="auto" w:fill="FFFFFF"/>
          </w:rPr>
          <w:t>-</w:t>
        </w:r>
        <w:r w:rsidR="006D777B" w:rsidRPr="007C3554">
          <w:rPr>
            <w:rStyle w:val="Hyperlink"/>
            <w:shd w:val="clear" w:color="auto" w:fill="FFFFFF"/>
            <w:lang w:val="en-US"/>
          </w:rPr>
          <w:t>PND</w:t>
        </w:r>
        <w:r w:rsidR="006D777B" w:rsidRPr="00652EAB">
          <w:rPr>
            <w:rStyle w:val="Hyperlink"/>
            <w:shd w:val="clear" w:color="auto" w:fill="FFFFFF"/>
          </w:rPr>
          <w:t>-18.2-</w:t>
        </w:r>
        <w:proofErr w:type="spellStart"/>
        <w:r w:rsidR="006D777B" w:rsidRPr="007C3554">
          <w:rPr>
            <w:rStyle w:val="Hyperlink"/>
            <w:shd w:val="clear" w:color="auto" w:fill="FFFFFF"/>
            <w:lang w:val="en-US"/>
          </w:rPr>
          <w:t>eng</w:t>
        </w:r>
        <w:proofErr w:type="spellEnd"/>
        <w:r w:rsidR="006D777B" w:rsidRPr="00652EAB">
          <w:rPr>
            <w:rStyle w:val="Hyperlink"/>
            <w:shd w:val="clear" w:color="auto" w:fill="FFFFFF"/>
          </w:rPr>
          <w:t>.</w:t>
        </w:r>
        <w:r w:rsidR="006D777B" w:rsidRPr="007C3554">
          <w:rPr>
            <w:rStyle w:val="Hyperlink"/>
            <w:shd w:val="clear" w:color="auto" w:fill="FFFFFF"/>
            <w:lang w:val="en-US"/>
          </w:rPr>
          <w:t>pdf</w:t>
        </w:r>
        <w:r w:rsidR="006D777B" w:rsidRPr="00652EAB">
          <w:rPr>
            <w:rStyle w:val="Hyperlink"/>
            <w:shd w:val="clear" w:color="auto" w:fill="FFFFFF"/>
          </w:rPr>
          <w:t>;</w:t>
        </w:r>
        <w:proofErr w:type="spellStart"/>
        <w:r w:rsidR="006D777B" w:rsidRPr="007C3554">
          <w:rPr>
            <w:rStyle w:val="Hyperlink"/>
            <w:shd w:val="clear" w:color="auto" w:fill="FFFFFF"/>
            <w:lang w:val="en-US"/>
          </w:rPr>
          <w:t>jsessionid</w:t>
        </w:r>
        <w:proofErr w:type="spellEnd"/>
        <w:r w:rsidR="006D777B" w:rsidRPr="00652EAB">
          <w:rPr>
            <w:rStyle w:val="Hyperlink"/>
            <w:shd w:val="clear" w:color="auto" w:fill="FFFFFF"/>
          </w:rPr>
          <w:t>=6</w:t>
        </w:r>
        <w:r w:rsidR="006D777B" w:rsidRPr="007C3554">
          <w:rPr>
            <w:rStyle w:val="Hyperlink"/>
            <w:shd w:val="clear" w:color="auto" w:fill="FFFFFF"/>
            <w:lang w:val="en-US"/>
          </w:rPr>
          <w:t>E</w:t>
        </w:r>
        <w:r w:rsidR="006D777B" w:rsidRPr="00652EAB">
          <w:rPr>
            <w:rStyle w:val="Hyperlink"/>
            <w:shd w:val="clear" w:color="auto" w:fill="FFFFFF"/>
          </w:rPr>
          <w:t>08</w:t>
        </w:r>
        <w:r w:rsidR="006D777B" w:rsidRPr="007C3554">
          <w:rPr>
            <w:rStyle w:val="Hyperlink"/>
            <w:shd w:val="clear" w:color="auto" w:fill="FFFFFF"/>
            <w:lang w:val="en-US"/>
          </w:rPr>
          <w:t>A</w:t>
        </w:r>
        <w:r w:rsidR="006D777B" w:rsidRPr="00652EAB">
          <w:rPr>
            <w:rStyle w:val="Hyperlink"/>
            <w:shd w:val="clear" w:color="auto" w:fill="FFFFFF"/>
          </w:rPr>
          <w:t>3</w:t>
        </w:r>
        <w:r w:rsidR="006D777B" w:rsidRPr="007C3554">
          <w:rPr>
            <w:rStyle w:val="Hyperlink"/>
            <w:shd w:val="clear" w:color="auto" w:fill="FFFFFF"/>
            <w:lang w:val="en-US"/>
          </w:rPr>
          <w:t>CE</w:t>
        </w:r>
        <w:r w:rsidR="006D777B" w:rsidRPr="00652EAB">
          <w:rPr>
            <w:rStyle w:val="Hyperlink"/>
            <w:shd w:val="clear" w:color="auto" w:fill="FFFFFF"/>
          </w:rPr>
          <w:t>367496</w:t>
        </w:r>
        <w:r w:rsidR="006D777B" w:rsidRPr="007C3554">
          <w:rPr>
            <w:rStyle w:val="Hyperlink"/>
            <w:shd w:val="clear" w:color="auto" w:fill="FFFFFF"/>
            <w:lang w:val="en-US"/>
          </w:rPr>
          <w:t>C</w:t>
        </w:r>
        <w:r w:rsidR="006D777B" w:rsidRPr="00652EAB">
          <w:rPr>
            <w:rStyle w:val="Hyperlink"/>
            <w:shd w:val="clear" w:color="auto" w:fill="FFFFFF"/>
          </w:rPr>
          <w:t>323</w:t>
        </w:r>
        <w:r w:rsidR="006D777B" w:rsidRPr="007C3554">
          <w:rPr>
            <w:rStyle w:val="Hyperlink"/>
            <w:shd w:val="clear" w:color="auto" w:fill="FFFFFF"/>
            <w:lang w:val="en-US"/>
          </w:rPr>
          <w:t>C</w:t>
        </w:r>
        <w:r w:rsidR="006D777B" w:rsidRPr="00652EAB">
          <w:rPr>
            <w:rStyle w:val="Hyperlink"/>
            <w:shd w:val="clear" w:color="auto" w:fill="FFFFFF"/>
          </w:rPr>
          <w:t>66</w:t>
        </w:r>
        <w:r w:rsidR="006D777B" w:rsidRPr="007C3554">
          <w:rPr>
            <w:rStyle w:val="Hyperlink"/>
            <w:shd w:val="clear" w:color="auto" w:fill="FFFFFF"/>
            <w:lang w:val="en-US"/>
          </w:rPr>
          <w:t>CEE</w:t>
        </w:r>
        <w:r w:rsidR="006D777B" w:rsidRPr="00652EAB">
          <w:rPr>
            <w:rStyle w:val="Hyperlink"/>
            <w:shd w:val="clear" w:color="auto" w:fill="FFFFFF"/>
          </w:rPr>
          <w:t>3</w:t>
        </w:r>
        <w:r w:rsidR="006D777B" w:rsidRPr="007C3554">
          <w:rPr>
            <w:rStyle w:val="Hyperlink"/>
            <w:shd w:val="clear" w:color="auto" w:fill="FFFFFF"/>
            <w:lang w:val="en-US"/>
          </w:rPr>
          <w:t>E</w:t>
        </w:r>
        <w:r w:rsidR="006D777B" w:rsidRPr="00652EAB">
          <w:rPr>
            <w:rStyle w:val="Hyperlink"/>
            <w:shd w:val="clear" w:color="auto" w:fill="FFFFFF"/>
          </w:rPr>
          <w:t>1</w:t>
        </w:r>
        <w:r w:rsidR="006D777B" w:rsidRPr="007C3554">
          <w:rPr>
            <w:rStyle w:val="Hyperlink"/>
            <w:shd w:val="clear" w:color="auto" w:fill="FFFFFF"/>
            <w:lang w:val="en-US"/>
          </w:rPr>
          <w:t>EAC</w:t>
        </w:r>
        <w:r w:rsidR="006D777B" w:rsidRPr="00652EAB">
          <w:rPr>
            <w:rStyle w:val="Hyperlink"/>
            <w:shd w:val="clear" w:color="auto" w:fill="FFFFFF"/>
          </w:rPr>
          <w:t>45?</w:t>
        </w:r>
        <w:r w:rsidR="006D777B" w:rsidRPr="007C3554">
          <w:rPr>
            <w:rStyle w:val="Hyperlink"/>
            <w:shd w:val="clear" w:color="auto" w:fill="FFFFFF"/>
            <w:lang w:val="en-US"/>
          </w:rPr>
          <w:t>sequence</w:t>
        </w:r>
        <w:r w:rsidR="006D777B" w:rsidRPr="00652EAB">
          <w:rPr>
            <w:rStyle w:val="Hyperlink"/>
            <w:shd w:val="clear" w:color="auto" w:fill="FFFFFF"/>
          </w:rPr>
          <w:t>=1</w:t>
        </w:r>
      </w:hyperlink>
      <w:r w:rsidR="006D777B" w:rsidRPr="00652EAB">
        <w:rPr>
          <w:color w:val="000000"/>
          <w:shd w:val="clear" w:color="auto" w:fill="FFFFFF"/>
        </w:rPr>
        <w:t xml:space="preserve"> </w:t>
      </w:r>
    </w:p>
    <w:p w14:paraId="26012707" w14:textId="450CFE1A" w:rsidR="001F0737" w:rsidRPr="006D777B" w:rsidRDefault="001F0737" w:rsidP="006D777B">
      <w:pPr>
        <w:spacing w:after="0" w:line="276" w:lineRule="auto"/>
        <w:ind w:left="720" w:hanging="720"/>
        <w:rPr>
          <w:lang w:val="en-GB"/>
        </w:rPr>
      </w:pPr>
      <w:r w:rsidRPr="001F0737">
        <w:rPr>
          <w:lang w:val="en-US"/>
        </w:rPr>
        <w:t>Zeilig</w:t>
      </w:r>
      <w:r w:rsidR="006D777B">
        <w:rPr>
          <w:lang w:val="en-US"/>
        </w:rPr>
        <w:t>,</w:t>
      </w:r>
      <w:r w:rsidR="001F71AD">
        <w:rPr>
          <w:lang w:val="en-US"/>
        </w:rPr>
        <w:t xml:space="preserve"> </w:t>
      </w:r>
      <w:r w:rsidRPr="001F0737">
        <w:rPr>
          <w:lang w:val="en-US"/>
        </w:rPr>
        <w:t>H., Killick</w:t>
      </w:r>
      <w:r w:rsidR="006D777B">
        <w:rPr>
          <w:lang w:val="en-US"/>
        </w:rPr>
        <w:t>,</w:t>
      </w:r>
      <w:r w:rsidRPr="001F0737">
        <w:rPr>
          <w:lang w:val="en-US"/>
        </w:rPr>
        <w:t xml:space="preserve"> J.</w:t>
      </w:r>
      <w:r w:rsidR="006D777B">
        <w:rPr>
          <w:lang w:val="en-US"/>
        </w:rPr>
        <w:t>,</w:t>
      </w:r>
      <w:r w:rsidR="001F71AD">
        <w:rPr>
          <w:lang w:val="en-US"/>
        </w:rPr>
        <w:t xml:space="preserve"> </w:t>
      </w:r>
      <w:r w:rsidRPr="001F0737">
        <w:rPr>
          <w:lang w:val="en-US"/>
        </w:rPr>
        <w:t>&amp; Fox</w:t>
      </w:r>
      <w:r w:rsidR="006D777B">
        <w:rPr>
          <w:lang w:val="en-US"/>
        </w:rPr>
        <w:t>,</w:t>
      </w:r>
      <w:r w:rsidRPr="001F0737">
        <w:rPr>
          <w:lang w:val="en-US"/>
        </w:rPr>
        <w:t xml:space="preserve"> C. (2014). The participative arts for</w:t>
      </w:r>
      <w:r>
        <w:rPr>
          <w:lang w:val="en-US"/>
        </w:rPr>
        <w:t xml:space="preserve"> </w:t>
      </w:r>
      <w:r w:rsidRPr="001F0737">
        <w:rPr>
          <w:lang w:val="en-US"/>
        </w:rPr>
        <w:t xml:space="preserve">people living with a dementia: A critical review. </w:t>
      </w:r>
      <w:r w:rsidRPr="006D777B">
        <w:rPr>
          <w:i/>
          <w:iCs/>
          <w:lang w:val="en-US"/>
        </w:rPr>
        <w:t>International Journal of Ageing and Later Life, 9</w:t>
      </w:r>
      <w:r w:rsidRPr="001F0737">
        <w:rPr>
          <w:lang w:val="en-US"/>
        </w:rPr>
        <w:t>(1)</w:t>
      </w:r>
      <w:r w:rsidR="006D777B">
        <w:rPr>
          <w:lang w:val="en-US"/>
        </w:rPr>
        <w:t xml:space="preserve">, </w:t>
      </w:r>
      <w:r w:rsidRPr="001F0737">
        <w:rPr>
          <w:lang w:val="en-US"/>
        </w:rPr>
        <w:t>7–34.</w:t>
      </w:r>
      <w:r w:rsidR="006D777B" w:rsidRPr="006D777B">
        <w:rPr>
          <w:lang w:val="en-GB"/>
        </w:rPr>
        <w:t xml:space="preserve"> </w:t>
      </w:r>
      <w:hyperlink r:id="rId45" w:history="1">
        <w:r w:rsidR="006D777B" w:rsidRPr="007C3554">
          <w:rPr>
            <w:rStyle w:val="Hyperlink"/>
            <w:lang w:val="en-US"/>
          </w:rPr>
          <w:t>https://doi.org/10.3384/ijal.1652-8670.14238</w:t>
        </w:r>
      </w:hyperlink>
      <w:r w:rsidR="006D777B">
        <w:rPr>
          <w:lang w:val="en-US"/>
        </w:rPr>
        <w:t xml:space="preserve"> </w:t>
      </w:r>
    </w:p>
    <w:p w14:paraId="45D74227" w14:textId="475AA016" w:rsidR="006D777B" w:rsidRDefault="006D777B" w:rsidP="00690A24">
      <w:pPr>
        <w:spacing w:line="276" w:lineRule="auto"/>
        <w:jc w:val="both"/>
        <w:rPr>
          <w:b/>
          <w:lang w:val="en-US"/>
        </w:rPr>
      </w:pPr>
    </w:p>
    <w:p w14:paraId="4413A6EB" w14:textId="035097AC" w:rsidR="00833028" w:rsidRDefault="00833028" w:rsidP="005E55AE">
      <w:pPr>
        <w:pStyle w:val="NoSpacing"/>
        <w:rPr>
          <w:lang w:val="en-US"/>
        </w:rPr>
      </w:pPr>
      <w:r w:rsidRPr="00833028">
        <w:rPr>
          <w:lang w:val="en-US"/>
        </w:rPr>
        <w:t>Relevant peer reviewed journals</w:t>
      </w:r>
    </w:p>
    <w:p w14:paraId="40F760B5" w14:textId="77777777" w:rsidR="00EA460D" w:rsidRDefault="00EA460D" w:rsidP="00690A24">
      <w:pPr>
        <w:spacing w:line="276" w:lineRule="auto"/>
        <w:jc w:val="both"/>
        <w:rPr>
          <w:lang w:val="en-US"/>
        </w:rPr>
      </w:pPr>
      <w:bookmarkStart w:id="0" w:name="_Hlk68172213"/>
      <w:r>
        <w:rPr>
          <w:lang w:val="en-US"/>
        </w:rPr>
        <w:t>Arts &amp; Health</w:t>
      </w:r>
    </w:p>
    <w:p w14:paraId="554FD939" w14:textId="77777777" w:rsidR="00E50370" w:rsidRPr="00E50370" w:rsidRDefault="00E50370" w:rsidP="00E50370">
      <w:pPr>
        <w:spacing w:line="276" w:lineRule="auto"/>
        <w:jc w:val="both"/>
        <w:rPr>
          <w:lang w:val="en-US"/>
        </w:rPr>
      </w:pPr>
      <w:r w:rsidRPr="00E50370">
        <w:rPr>
          <w:lang w:val="en-US"/>
        </w:rPr>
        <w:t>Journal of Applied Arts &amp; Health</w:t>
      </w:r>
    </w:p>
    <w:p w14:paraId="734D47C8" w14:textId="77777777" w:rsidR="00E50370" w:rsidRPr="00E50370" w:rsidRDefault="00E50370" w:rsidP="00E50370">
      <w:pPr>
        <w:spacing w:line="276" w:lineRule="auto"/>
        <w:jc w:val="both"/>
        <w:rPr>
          <w:lang w:val="en-US"/>
        </w:rPr>
      </w:pPr>
      <w:r w:rsidRPr="00E50370">
        <w:rPr>
          <w:lang w:val="en-US"/>
        </w:rPr>
        <w:t>Canadian Review of Art Education</w:t>
      </w:r>
    </w:p>
    <w:p w14:paraId="76C7A8F5" w14:textId="77777777" w:rsidR="00E50370" w:rsidRPr="00E50370" w:rsidRDefault="00E50370" w:rsidP="00E50370">
      <w:pPr>
        <w:spacing w:line="276" w:lineRule="auto"/>
        <w:jc w:val="both"/>
        <w:rPr>
          <w:lang w:val="en-US"/>
        </w:rPr>
      </w:pPr>
      <w:r w:rsidRPr="00E50370">
        <w:rPr>
          <w:lang w:val="en-US"/>
        </w:rPr>
        <w:t>Leisure Studies</w:t>
      </w:r>
    </w:p>
    <w:p w14:paraId="64A9AF05" w14:textId="77777777" w:rsidR="00E50370" w:rsidRPr="00E50370" w:rsidRDefault="00E50370" w:rsidP="00E50370">
      <w:pPr>
        <w:spacing w:line="276" w:lineRule="auto"/>
        <w:jc w:val="both"/>
        <w:rPr>
          <w:lang w:val="en-US"/>
        </w:rPr>
      </w:pPr>
      <w:r w:rsidRPr="00E50370">
        <w:rPr>
          <w:lang w:val="en-US"/>
        </w:rPr>
        <w:t>Creativity Research Journal</w:t>
      </w:r>
    </w:p>
    <w:p w14:paraId="5CAC41EF" w14:textId="77777777" w:rsidR="00E50370" w:rsidRPr="00E50370" w:rsidRDefault="00E50370" w:rsidP="00E50370">
      <w:pPr>
        <w:spacing w:line="276" w:lineRule="auto"/>
        <w:jc w:val="both"/>
        <w:rPr>
          <w:lang w:val="en-US"/>
        </w:rPr>
      </w:pPr>
      <w:r w:rsidRPr="00E50370">
        <w:rPr>
          <w:lang w:val="en-US"/>
        </w:rPr>
        <w:t>Nordic Journal of Arts, Culture and Health</w:t>
      </w:r>
    </w:p>
    <w:p w14:paraId="024F630F" w14:textId="576A55F9" w:rsidR="002179A5" w:rsidRDefault="00E50370" w:rsidP="00E50370">
      <w:pPr>
        <w:spacing w:line="276" w:lineRule="auto"/>
        <w:jc w:val="both"/>
        <w:rPr>
          <w:lang w:val="en-US"/>
        </w:rPr>
      </w:pPr>
      <w:r w:rsidRPr="00E50370">
        <w:rPr>
          <w:lang w:val="en-US"/>
        </w:rPr>
        <w:t>International Journal of Art Therapy</w:t>
      </w:r>
    </w:p>
    <w:p w14:paraId="124B48A7" w14:textId="160DCB42" w:rsidR="00E50370" w:rsidRDefault="00E50370" w:rsidP="00690A24">
      <w:pPr>
        <w:spacing w:line="276" w:lineRule="auto"/>
        <w:jc w:val="both"/>
        <w:rPr>
          <w:lang w:val="en-US"/>
        </w:rPr>
      </w:pPr>
      <w:r w:rsidRPr="00E50370">
        <w:rPr>
          <w:lang w:val="en-US"/>
        </w:rPr>
        <w:t>Journal of Arts and Communities</w:t>
      </w:r>
    </w:p>
    <w:p w14:paraId="6D45E9B3" w14:textId="7F8E5477" w:rsidR="00C87F71" w:rsidRPr="00EA460D" w:rsidRDefault="000A592F" w:rsidP="00690A24">
      <w:pPr>
        <w:spacing w:line="276" w:lineRule="auto"/>
        <w:jc w:val="both"/>
        <w:rPr>
          <w:lang w:val="en-US"/>
        </w:rPr>
      </w:pPr>
      <w:r w:rsidRPr="000A592F">
        <w:rPr>
          <w:lang w:val="en-US"/>
        </w:rPr>
        <w:t>Health Education Journal</w:t>
      </w:r>
    </w:p>
    <w:bookmarkEnd w:id="0"/>
    <w:p w14:paraId="2E237216" w14:textId="77777777" w:rsidR="00DF1EB8" w:rsidRDefault="00DF1EB8" w:rsidP="00690A24">
      <w:pPr>
        <w:spacing w:line="276" w:lineRule="auto"/>
        <w:jc w:val="both"/>
        <w:rPr>
          <w:lang w:val="en-US"/>
        </w:rPr>
      </w:pPr>
      <w:r w:rsidRPr="00DF1EB8">
        <w:rPr>
          <w:lang w:val="en-US"/>
        </w:rPr>
        <w:t>Health Education Research</w:t>
      </w:r>
    </w:p>
    <w:p w14:paraId="20DC8BCA" w14:textId="77777777" w:rsidR="001264FE" w:rsidRDefault="001264FE" w:rsidP="00690A24">
      <w:pPr>
        <w:spacing w:line="276" w:lineRule="auto"/>
        <w:jc w:val="both"/>
        <w:rPr>
          <w:lang w:val="en-US"/>
        </w:rPr>
      </w:pPr>
      <w:r w:rsidRPr="001264FE">
        <w:rPr>
          <w:lang w:val="en-US"/>
        </w:rPr>
        <w:t>Health Promotion International</w:t>
      </w:r>
    </w:p>
    <w:p w14:paraId="47EB7709" w14:textId="77777777" w:rsidR="000A592F" w:rsidRPr="00E36CCB" w:rsidRDefault="00522571" w:rsidP="00690A24">
      <w:pPr>
        <w:spacing w:line="276" w:lineRule="auto"/>
        <w:jc w:val="both"/>
        <w:rPr>
          <w:lang w:val="en-GB"/>
        </w:rPr>
      </w:pPr>
      <w:r w:rsidRPr="00522571">
        <w:rPr>
          <w:lang w:val="en-US"/>
        </w:rPr>
        <w:t>Health Promotion Journal of Australia</w:t>
      </w:r>
    </w:p>
    <w:p w14:paraId="2F426605" w14:textId="77777777" w:rsidR="00683B78" w:rsidRDefault="00683B78" w:rsidP="00690A24">
      <w:pPr>
        <w:spacing w:line="276" w:lineRule="auto"/>
        <w:jc w:val="both"/>
        <w:rPr>
          <w:lang w:val="en-US"/>
        </w:rPr>
      </w:pPr>
      <w:r w:rsidRPr="00683B78">
        <w:rPr>
          <w:lang w:val="en-US"/>
        </w:rPr>
        <w:t>Health Promotion Practice</w:t>
      </w:r>
    </w:p>
    <w:p w14:paraId="55616C3F" w14:textId="77777777" w:rsidR="001F0737" w:rsidRDefault="001F0737" w:rsidP="00690A24">
      <w:pPr>
        <w:spacing w:line="276" w:lineRule="auto"/>
        <w:jc w:val="both"/>
        <w:rPr>
          <w:lang w:val="en-US"/>
        </w:rPr>
      </w:pPr>
      <w:r w:rsidRPr="001F0737">
        <w:rPr>
          <w:lang w:val="en-US"/>
        </w:rPr>
        <w:t>Journal of the Royal Society for the Promotion of Health</w:t>
      </w:r>
    </w:p>
    <w:p w14:paraId="15829BB5" w14:textId="77777777" w:rsidR="00664E33" w:rsidRPr="000A592F" w:rsidRDefault="00664E33" w:rsidP="00690A24">
      <w:pPr>
        <w:spacing w:line="276" w:lineRule="auto"/>
        <w:jc w:val="both"/>
        <w:rPr>
          <w:lang w:val="en-US"/>
        </w:rPr>
      </w:pPr>
    </w:p>
    <w:p w14:paraId="4E9C3B08" w14:textId="77777777" w:rsidR="00C87F71" w:rsidRPr="00C87F71" w:rsidRDefault="00C87F71" w:rsidP="00690A24">
      <w:pPr>
        <w:spacing w:line="276" w:lineRule="auto"/>
        <w:jc w:val="both"/>
        <w:rPr>
          <w:b/>
          <w:lang w:val="en-US"/>
        </w:rPr>
      </w:pPr>
    </w:p>
    <w:sectPr w:rsidR="00C87F71" w:rsidRPr="00C87F71" w:rsidSect="005E55AE">
      <w:headerReference w:type="default" r:id="rId46"/>
      <w:footerReference w:type="default" r:id="rId47"/>
      <w:footerReference w:type="first" r:id="rId48"/>
      <w:pgSz w:w="11906" w:h="16838"/>
      <w:pgMar w:top="720" w:right="720" w:bottom="720" w:left="720"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3CCC6" w14:textId="77777777" w:rsidR="001D1D91" w:rsidRDefault="001D1D91" w:rsidP="00E36CCB">
      <w:pPr>
        <w:spacing w:after="0" w:line="240" w:lineRule="auto"/>
      </w:pPr>
      <w:r>
        <w:separator/>
      </w:r>
    </w:p>
  </w:endnote>
  <w:endnote w:type="continuationSeparator" w:id="0">
    <w:p w14:paraId="50EA88A8" w14:textId="77777777" w:rsidR="001D1D91" w:rsidRDefault="001D1D91" w:rsidP="00E36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Medium">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E242B" w14:textId="6DBAA309" w:rsidR="00E36CCB" w:rsidRDefault="00E36CCB" w:rsidP="00E36CCB">
    <w:pPr>
      <w:pStyle w:val="Footer"/>
    </w:pPr>
  </w:p>
  <w:p w14:paraId="41C30001" w14:textId="2C0D908C" w:rsidR="00E36CCB" w:rsidRDefault="00E36CCB" w:rsidP="00E36CCB">
    <w:pPr>
      <w:pStyle w:val="Footer"/>
      <w:rPr>
        <w:lang w:val="en-US"/>
      </w:rPr>
    </w:pPr>
    <w:r>
      <w:rPr>
        <w:noProof/>
        <w:lang w:val="en-US"/>
      </w:rPr>
      <w:drawing>
        <wp:anchor distT="0" distB="0" distL="114300" distR="114300" simplePos="0" relativeHeight="251660288" behindDoc="1" locked="0" layoutInCell="1" allowOverlap="1" wp14:anchorId="6E9AFF20" wp14:editId="1F6F2380">
          <wp:simplePos x="0" y="0"/>
          <wp:positionH relativeFrom="margin">
            <wp:align>left</wp:align>
          </wp:positionH>
          <wp:positionV relativeFrom="paragraph">
            <wp:posOffset>119017</wp:posOffset>
          </wp:positionV>
          <wp:extent cx="502920" cy="200025"/>
          <wp:effectExtent l="0" t="0" r="0" b="9525"/>
          <wp:wrapTight wrapText="bothSides">
            <wp:wrapPolygon edited="0">
              <wp:start x="0" y="0"/>
              <wp:lineTo x="0" y="20571"/>
              <wp:lineTo x="20455" y="20571"/>
              <wp:lineTo x="20455" y="0"/>
              <wp:lineTo x="0" y="0"/>
            </wp:wrapPolygon>
          </wp:wrapTight>
          <wp:docPr id="1211230207" name="Εικόνα 1211230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2920" cy="200025"/>
                  </a:xfrm>
                  <a:prstGeom prst="rect">
                    <a:avLst/>
                  </a:prstGeom>
                  <a:noFill/>
                </pic:spPr>
              </pic:pic>
            </a:graphicData>
          </a:graphic>
          <wp14:sizeRelH relativeFrom="page">
            <wp14:pctWidth>0</wp14:pctWidth>
          </wp14:sizeRelH>
          <wp14:sizeRelV relativeFrom="page">
            <wp14:pctHeight>0</wp14:pctHeight>
          </wp14:sizeRelV>
        </wp:anchor>
      </w:drawing>
    </w:r>
  </w:p>
  <w:p w14:paraId="7EDB4E2B" w14:textId="0E56E62B" w:rsidR="00E36CCB" w:rsidRPr="005E55AE" w:rsidRDefault="00E36CCB" w:rsidP="00E36CCB">
    <w:pPr>
      <w:pStyle w:val="Footer"/>
      <w:rPr>
        <w:sz w:val="20"/>
        <w:szCs w:val="20"/>
        <w:lang w:val="en-US"/>
      </w:rPr>
    </w:pPr>
    <w:r w:rsidRPr="005E55AE">
      <w:rPr>
        <w:sz w:val="20"/>
        <w:szCs w:val="20"/>
        <w:lang w:val="en-US"/>
      </w:rPr>
      <w:t xml:space="preserve">This work is licensed under the </w:t>
    </w:r>
    <w:hyperlink r:id="rId2" w:history="1">
      <w:r w:rsidRPr="005E55AE">
        <w:rPr>
          <w:rStyle w:val="Hyperlink"/>
          <w:sz w:val="20"/>
          <w:szCs w:val="20"/>
          <w:lang w:val="en-US"/>
        </w:rPr>
        <w:t>Creative Commons Attribution-</w:t>
      </w:r>
      <w:proofErr w:type="gramStart"/>
      <w:r w:rsidRPr="005E55AE">
        <w:rPr>
          <w:rStyle w:val="Hyperlink"/>
          <w:sz w:val="20"/>
          <w:szCs w:val="20"/>
          <w:lang w:val="en-US"/>
        </w:rPr>
        <w:t>Non</w:t>
      </w:r>
      <w:r w:rsidRPr="005E55AE">
        <w:rPr>
          <w:rStyle w:val="Hyperlink"/>
          <w:sz w:val="20"/>
          <w:szCs w:val="20"/>
          <w:lang w:val="en-GB"/>
        </w:rPr>
        <w:t xml:space="preserve"> </w:t>
      </w:r>
      <w:r w:rsidRPr="005E55AE">
        <w:rPr>
          <w:rStyle w:val="Hyperlink"/>
          <w:sz w:val="20"/>
          <w:szCs w:val="20"/>
          <w:lang w:val="en-US"/>
        </w:rPr>
        <w:t>Commercial</w:t>
      </w:r>
      <w:proofErr w:type="gramEnd"/>
      <w:r w:rsidRPr="005E55AE">
        <w:rPr>
          <w:rStyle w:val="Hyperlink"/>
          <w:sz w:val="20"/>
          <w:szCs w:val="20"/>
          <w:lang w:val="en-US"/>
        </w:rPr>
        <w:t>-Share</w:t>
      </w:r>
      <w:r w:rsidRPr="005E55AE">
        <w:rPr>
          <w:rStyle w:val="Hyperlink"/>
          <w:sz w:val="20"/>
          <w:szCs w:val="20"/>
          <w:lang w:val="en-GB"/>
        </w:rPr>
        <w:t xml:space="preserve"> </w:t>
      </w:r>
      <w:r w:rsidRPr="005E55AE">
        <w:rPr>
          <w:rStyle w:val="Hyperlink"/>
          <w:sz w:val="20"/>
          <w:szCs w:val="20"/>
          <w:lang w:val="en-US"/>
        </w:rPr>
        <w:t>Alike 4.0 International License</w:t>
      </w:r>
    </w:hyperlink>
    <w:r w:rsidRPr="005E55AE">
      <w:rPr>
        <w:sz w:val="20"/>
        <w:szCs w:val="20"/>
        <w:lang w:val="en-US"/>
      </w:rPr>
      <w:t>.</w:t>
    </w:r>
  </w:p>
  <w:p w14:paraId="7B15C78B" w14:textId="3EBF88C8" w:rsidR="00E36CCB" w:rsidRPr="00E36CCB" w:rsidRDefault="00E36CCB" w:rsidP="00E36CCB">
    <w:pPr>
      <w:pStyle w:val="Footer"/>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8D24A" w14:textId="1681CBEA" w:rsidR="005E55AE" w:rsidRDefault="005E55AE">
    <w:pPr>
      <w:pStyle w:val="Footer"/>
    </w:pPr>
    <w:r>
      <w:rPr>
        <w:noProof/>
      </w:rPr>
      <w:drawing>
        <wp:anchor distT="0" distB="0" distL="114300" distR="114300" simplePos="0" relativeHeight="251664384" behindDoc="0" locked="0" layoutInCell="1" allowOverlap="1" wp14:anchorId="26369CB0" wp14:editId="0C789386">
          <wp:simplePos x="0" y="0"/>
          <wp:positionH relativeFrom="page">
            <wp:align>right</wp:align>
          </wp:positionH>
          <wp:positionV relativeFrom="page">
            <wp:posOffset>10045700</wp:posOffset>
          </wp:positionV>
          <wp:extent cx="2268578" cy="648000"/>
          <wp:effectExtent l="0" t="0" r="0" b="0"/>
          <wp:wrapNone/>
          <wp:docPr id="81582267" name="Εικόνα 81582267">
            <a:extLst xmlns:a="http://schemas.openxmlformats.org/drawingml/2006/main">
              <a:ext uri="{FF2B5EF4-FFF2-40B4-BE49-F238E27FC236}">
                <a16:creationId xmlns:a16="http://schemas.microsoft.com/office/drawing/2014/main" id="{5CBD2A68-7D44-4D4C-85F4-A1D4FCBD2B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6">
                    <a:extLst>
                      <a:ext uri="{FF2B5EF4-FFF2-40B4-BE49-F238E27FC236}">
                        <a16:creationId xmlns:a16="http://schemas.microsoft.com/office/drawing/2014/main" id="{5CBD2A68-7D44-4D4C-85F4-A1D4FCBD2B8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68578" cy="648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5A978C61" wp14:editId="2E0D45C6">
          <wp:simplePos x="0" y="0"/>
          <wp:positionH relativeFrom="page">
            <wp:align>left</wp:align>
          </wp:positionH>
          <wp:positionV relativeFrom="page">
            <wp:align>bottom</wp:align>
          </wp:positionV>
          <wp:extent cx="2272609" cy="649151"/>
          <wp:effectExtent l="0" t="0" r="0" b="0"/>
          <wp:wrapSquare wrapText="bothSides"/>
          <wp:docPr id="669040102" name="Εικόνα 669040102">
            <a:extLst xmlns:a="http://schemas.openxmlformats.org/drawingml/2006/main">
              <a:ext uri="{FF2B5EF4-FFF2-40B4-BE49-F238E27FC236}">
                <a16:creationId xmlns:a16="http://schemas.microsoft.com/office/drawing/2014/main" id="{8B9C44B4-6C2D-45DC-9BC1-668FA77600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4">
                    <a:extLst>
                      <a:ext uri="{FF2B5EF4-FFF2-40B4-BE49-F238E27FC236}">
                        <a16:creationId xmlns:a16="http://schemas.microsoft.com/office/drawing/2014/main" id="{8B9C44B4-6C2D-45DC-9BC1-668FA77600F1}"/>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272609" cy="64915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9E1A0" w14:textId="77777777" w:rsidR="001D1D91" w:rsidRDefault="001D1D91" w:rsidP="00E36CCB">
      <w:pPr>
        <w:spacing w:after="0" w:line="240" w:lineRule="auto"/>
      </w:pPr>
      <w:r>
        <w:separator/>
      </w:r>
    </w:p>
  </w:footnote>
  <w:footnote w:type="continuationSeparator" w:id="0">
    <w:p w14:paraId="2E1D1AF2" w14:textId="77777777" w:rsidR="001D1D91" w:rsidRDefault="001D1D91" w:rsidP="00E36C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63D0F" w14:textId="02D60293" w:rsidR="00E36CCB" w:rsidRDefault="005E55AE">
    <w:pPr>
      <w:pStyle w:val="Header"/>
    </w:pPr>
    <w:r>
      <w:rPr>
        <w:noProof/>
      </w:rPr>
      <w:drawing>
        <wp:anchor distT="0" distB="0" distL="114300" distR="114300" simplePos="0" relativeHeight="251658240" behindDoc="1" locked="0" layoutInCell="1" allowOverlap="1" wp14:anchorId="56AA8AD2" wp14:editId="3D1477F3">
          <wp:simplePos x="0" y="0"/>
          <wp:positionH relativeFrom="page">
            <wp:posOffset>28136</wp:posOffset>
          </wp:positionH>
          <wp:positionV relativeFrom="paragraph">
            <wp:posOffset>12700</wp:posOffset>
          </wp:positionV>
          <wp:extent cx="2061210" cy="588010"/>
          <wp:effectExtent l="0" t="0" r="0" b="2540"/>
          <wp:wrapTight wrapText="bothSides">
            <wp:wrapPolygon edited="0">
              <wp:start x="0" y="0"/>
              <wp:lineTo x="0" y="20994"/>
              <wp:lineTo x="21360" y="20994"/>
              <wp:lineTo x="21360" y="0"/>
              <wp:lineTo x="0" y="0"/>
            </wp:wrapPolygon>
          </wp:wrapTight>
          <wp:docPr id="2125571855" name="Εικόνα 2125571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1210" cy="5880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1848396A" wp14:editId="0A32D589">
          <wp:simplePos x="0" y="0"/>
          <wp:positionH relativeFrom="page">
            <wp:align>right</wp:align>
          </wp:positionH>
          <wp:positionV relativeFrom="paragraph">
            <wp:posOffset>47918</wp:posOffset>
          </wp:positionV>
          <wp:extent cx="2104390" cy="602615"/>
          <wp:effectExtent l="0" t="0" r="0" b="6985"/>
          <wp:wrapTight wrapText="bothSides">
            <wp:wrapPolygon edited="0">
              <wp:start x="0" y="0"/>
              <wp:lineTo x="0" y="21168"/>
              <wp:lineTo x="21313" y="21168"/>
              <wp:lineTo x="21313" y="0"/>
              <wp:lineTo x="0" y="0"/>
            </wp:wrapPolygon>
          </wp:wrapTight>
          <wp:docPr id="92836521" name="Εικόνα 92836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4390" cy="6026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66103"/>
    <w:multiLevelType w:val="hybridMultilevel"/>
    <w:tmpl w:val="F62CAE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8687A49"/>
    <w:multiLevelType w:val="hybridMultilevel"/>
    <w:tmpl w:val="0E925FB0"/>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A5F2122"/>
    <w:multiLevelType w:val="hybridMultilevel"/>
    <w:tmpl w:val="FF0C02E4"/>
    <w:lvl w:ilvl="0" w:tplc="4BCAD9FE">
      <w:start w:val="1"/>
      <w:numFmt w:val="bullet"/>
      <w:lvlText w:val=""/>
      <w:lvlJc w:val="left"/>
      <w:pPr>
        <w:ind w:left="1739" w:hanging="360"/>
      </w:pPr>
      <w:rPr>
        <w:rFonts w:ascii="Symbol" w:hAnsi="Symbol" w:hint="default"/>
      </w:rPr>
    </w:lvl>
    <w:lvl w:ilvl="1" w:tplc="041B0003" w:tentative="1">
      <w:start w:val="1"/>
      <w:numFmt w:val="bullet"/>
      <w:lvlText w:val="o"/>
      <w:lvlJc w:val="left"/>
      <w:pPr>
        <w:ind w:left="2459" w:hanging="360"/>
      </w:pPr>
      <w:rPr>
        <w:rFonts w:ascii="Courier New" w:hAnsi="Courier New" w:cs="Courier New" w:hint="default"/>
      </w:rPr>
    </w:lvl>
    <w:lvl w:ilvl="2" w:tplc="041B0005" w:tentative="1">
      <w:start w:val="1"/>
      <w:numFmt w:val="bullet"/>
      <w:lvlText w:val=""/>
      <w:lvlJc w:val="left"/>
      <w:pPr>
        <w:ind w:left="3179" w:hanging="360"/>
      </w:pPr>
      <w:rPr>
        <w:rFonts w:ascii="Wingdings" w:hAnsi="Wingdings" w:hint="default"/>
      </w:rPr>
    </w:lvl>
    <w:lvl w:ilvl="3" w:tplc="041B0001" w:tentative="1">
      <w:start w:val="1"/>
      <w:numFmt w:val="bullet"/>
      <w:lvlText w:val=""/>
      <w:lvlJc w:val="left"/>
      <w:pPr>
        <w:ind w:left="3899" w:hanging="360"/>
      </w:pPr>
      <w:rPr>
        <w:rFonts w:ascii="Symbol" w:hAnsi="Symbol" w:hint="default"/>
      </w:rPr>
    </w:lvl>
    <w:lvl w:ilvl="4" w:tplc="041B0003" w:tentative="1">
      <w:start w:val="1"/>
      <w:numFmt w:val="bullet"/>
      <w:lvlText w:val="o"/>
      <w:lvlJc w:val="left"/>
      <w:pPr>
        <w:ind w:left="4619" w:hanging="360"/>
      </w:pPr>
      <w:rPr>
        <w:rFonts w:ascii="Courier New" w:hAnsi="Courier New" w:cs="Courier New" w:hint="default"/>
      </w:rPr>
    </w:lvl>
    <w:lvl w:ilvl="5" w:tplc="041B0005" w:tentative="1">
      <w:start w:val="1"/>
      <w:numFmt w:val="bullet"/>
      <w:lvlText w:val=""/>
      <w:lvlJc w:val="left"/>
      <w:pPr>
        <w:ind w:left="5339" w:hanging="360"/>
      </w:pPr>
      <w:rPr>
        <w:rFonts w:ascii="Wingdings" w:hAnsi="Wingdings" w:hint="default"/>
      </w:rPr>
    </w:lvl>
    <w:lvl w:ilvl="6" w:tplc="041B0001" w:tentative="1">
      <w:start w:val="1"/>
      <w:numFmt w:val="bullet"/>
      <w:lvlText w:val=""/>
      <w:lvlJc w:val="left"/>
      <w:pPr>
        <w:ind w:left="6059" w:hanging="360"/>
      </w:pPr>
      <w:rPr>
        <w:rFonts w:ascii="Symbol" w:hAnsi="Symbol" w:hint="default"/>
      </w:rPr>
    </w:lvl>
    <w:lvl w:ilvl="7" w:tplc="041B0003" w:tentative="1">
      <w:start w:val="1"/>
      <w:numFmt w:val="bullet"/>
      <w:lvlText w:val="o"/>
      <w:lvlJc w:val="left"/>
      <w:pPr>
        <w:ind w:left="6779" w:hanging="360"/>
      </w:pPr>
      <w:rPr>
        <w:rFonts w:ascii="Courier New" w:hAnsi="Courier New" w:cs="Courier New" w:hint="default"/>
      </w:rPr>
    </w:lvl>
    <w:lvl w:ilvl="8" w:tplc="041B0005" w:tentative="1">
      <w:start w:val="1"/>
      <w:numFmt w:val="bullet"/>
      <w:lvlText w:val=""/>
      <w:lvlJc w:val="left"/>
      <w:pPr>
        <w:ind w:left="7499" w:hanging="360"/>
      </w:pPr>
      <w:rPr>
        <w:rFonts w:ascii="Wingdings" w:hAnsi="Wingdings" w:hint="default"/>
      </w:rPr>
    </w:lvl>
  </w:abstractNum>
  <w:abstractNum w:abstractNumId="3" w15:restartNumberingAfterBreak="0">
    <w:nsid w:val="3B0B641B"/>
    <w:multiLevelType w:val="hybridMultilevel"/>
    <w:tmpl w:val="38C427FE"/>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EBD088A"/>
    <w:multiLevelType w:val="hybridMultilevel"/>
    <w:tmpl w:val="9ADA26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07A7E4E"/>
    <w:multiLevelType w:val="hybridMultilevel"/>
    <w:tmpl w:val="6B30A4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43668949">
    <w:abstractNumId w:val="2"/>
  </w:num>
  <w:num w:numId="2" w16cid:durableId="462771239">
    <w:abstractNumId w:val="4"/>
  </w:num>
  <w:num w:numId="3" w16cid:durableId="1419595266">
    <w:abstractNumId w:val="0"/>
  </w:num>
  <w:num w:numId="4" w16cid:durableId="492189104">
    <w:abstractNumId w:val="3"/>
  </w:num>
  <w:num w:numId="5" w16cid:durableId="1638339467">
    <w:abstractNumId w:val="5"/>
  </w:num>
  <w:num w:numId="6" w16cid:durableId="5760121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F71"/>
    <w:rsid w:val="0001163C"/>
    <w:rsid w:val="0001626A"/>
    <w:rsid w:val="000202CA"/>
    <w:rsid w:val="0004500C"/>
    <w:rsid w:val="00053B00"/>
    <w:rsid w:val="000A592F"/>
    <w:rsid w:val="000B45D9"/>
    <w:rsid w:val="001229E8"/>
    <w:rsid w:val="001264FE"/>
    <w:rsid w:val="00131A7C"/>
    <w:rsid w:val="00152A76"/>
    <w:rsid w:val="001666F7"/>
    <w:rsid w:val="001926E3"/>
    <w:rsid w:val="001A4D68"/>
    <w:rsid w:val="001D1D91"/>
    <w:rsid w:val="001F0737"/>
    <w:rsid w:val="001F38B0"/>
    <w:rsid w:val="001F71AD"/>
    <w:rsid w:val="002179A5"/>
    <w:rsid w:val="00243DFF"/>
    <w:rsid w:val="00291AB1"/>
    <w:rsid w:val="002B5876"/>
    <w:rsid w:val="002D1439"/>
    <w:rsid w:val="002F6404"/>
    <w:rsid w:val="003A1305"/>
    <w:rsid w:val="003A64D3"/>
    <w:rsid w:val="003F533A"/>
    <w:rsid w:val="00407AE5"/>
    <w:rsid w:val="00427BDA"/>
    <w:rsid w:val="00441A1F"/>
    <w:rsid w:val="00456AEE"/>
    <w:rsid w:val="004B1D19"/>
    <w:rsid w:val="004B5B88"/>
    <w:rsid w:val="0051077B"/>
    <w:rsid w:val="00522571"/>
    <w:rsid w:val="00537B98"/>
    <w:rsid w:val="00575107"/>
    <w:rsid w:val="00581A74"/>
    <w:rsid w:val="005A05E2"/>
    <w:rsid w:val="005A6A1F"/>
    <w:rsid w:val="005D5A80"/>
    <w:rsid w:val="005D78DE"/>
    <w:rsid w:val="005E55AE"/>
    <w:rsid w:val="00612BA3"/>
    <w:rsid w:val="006316DE"/>
    <w:rsid w:val="00652EAB"/>
    <w:rsid w:val="00664E33"/>
    <w:rsid w:val="00683B78"/>
    <w:rsid w:val="00684EC9"/>
    <w:rsid w:val="00690A24"/>
    <w:rsid w:val="006D68D8"/>
    <w:rsid w:val="006D777B"/>
    <w:rsid w:val="006F0D00"/>
    <w:rsid w:val="007001F0"/>
    <w:rsid w:val="00735D79"/>
    <w:rsid w:val="00745E46"/>
    <w:rsid w:val="0079637F"/>
    <w:rsid w:val="007B60A9"/>
    <w:rsid w:val="007C789F"/>
    <w:rsid w:val="007F283D"/>
    <w:rsid w:val="00831920"/>
    <w:rsid w:val="00833028"/>
    <w:rsid w:val="00842388"/>
    <w:rsid w:val="00891101"/>
    <w:rsid w:val="008A4707"/>
    <w:rsid w:val="008B0F24"/>
    <w:rsid w:val="008B7ED7"/>
    <w:rsid w:val="008D1AB8"/>
    <w:rsid w:val="00923B2C"/>
    <w:rsid w:val="00981674"/>
    <w:rsid w:val="009E5570"/>
    <w:rsid w:val="00A13759"/>
    <w:rsid w:val="00A40665"/>
    <w:rsid w:val="00A56676"/>
    <w:rsid w:val="00A76ABB"/>
    <w:rsid w:val="00AB4B84"/>
    <w:rsid w:val="00B50658"/>
    <w:rsid w:val="00B71E0F"/>
    <w:rsid w:val="00B915F2"/>
    <w:rsid w:val="00B962D8"/>
    <w:rsid w:val="00B970F7"/>
    <w:rsid w:val="00BD2DBD"/>
    <w:rsid w:val="00BF12AA"/>
    <w:rsid w:val="00C05229"/>
    <w:rsid w:val="00C13370"/>
    <w:rsid w:val="00C32692"/>
    <w:rsid w:val="00C57097"/>
    <w:rsid w:val="00C57C05"/>
    <w:rsid w:val="00C652FC"/>
    <w:rsid w:val="00C815EC"/>
    <w:rsid w:val="00C87F71"/>
    <w:rsid w:val="00C913FA"/>
    <w:rsid w:val="00D35417"/>
    <w:rsid w:val="00D36765"/>
    <w:rsid w:val="00D850A5"/>
    <w:rsid w:val="00D867E4"/>
    <w:rsid w:val="00DE3CB2"/>
    <w:rsid w:val="00DE6A71"/>
    <w:rsid w:val="00DF1EB8"/>
    <w:rsid w:val="00E27293"/>
    <w:rsid w:val="00E3668B"/>
    <w:rsid w:val="00E36CCB"/>
    <w:rsid w:val="00E439F0"/>
    <w:rsid w:val="00E50370"/>
    <w:rsid w:val="00E76D29"/>
    <w:rsid w:val="00EA460D"/>
    <w:rsid w:val="00EB580B"/>
    <w:rsid w:val="00EC59B0"/>
    <w:rsid w:val="00ED1FD4"/>
    <w:rsid w:val="00EE5C31"/>
    <w:rsid w:val="00EF3827"/>
    <w:rsid w:val="00EF61EB"/>
    <w:rsid w:val="00F72939"/>
    <w:rsid w:val="00FF1893"/>
    <w:rsid w:val="00FF639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7699C8"/>
  <w15:chartTrackingRefBased/>
  <w15:docId w15:val="{89798282-B8F2-40DF-94A2-E5148D227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D1FD4"/>
    <w:rPr>
      <w:color w:val="0563C1"/>
      <w:u w:val="single"/>
    </w:rPr>
  </w:style>
  <w:style w:type="character" w:styleId="UnresolvedMention">
    <w:name w:val="Unresolved Mention"/>
    <w:uiPriority w:val="99"/>
    <w:semiHidden/>
    <w:unhideWhenUsed/>
    <w:rsid w:val="00ED1FD4"/>
    <w:rPr>
      <w:color w:val="605E5C"/>
      <w:shd w:val="clear" w:color="auto" w:fill="E1DFDD"/>
    </w:rPr>
  </w:style>
  <w:style w:type="character" w:styleId="CommentReference">
    <w:name w:val="annotation reference"/>
    <w:uiPriority w:val="99"/>
    <w:semiHidden/>
    <w:unhideWhenUsed/>
    <w:rsid w:val="001264FE"/>
    <w:rPr>
      <w:sz w:val="16"/>
      <w:szCs w:val="16"/>
    </w:rPr>
  </w:style>
  <w:style w:type="paragraph" w:styleId="CommentText">
    <w:name w:val="annotation text"/>
    <w:basedOn w:val="Normal"/>
    <w:link w:val="CommentTextChar"/>
    <w:uiPriority w:val="99"/>
    <w:semiHidden/>
    <w:unhideWhenUsed/>
    <w:rsid w:val="001264FE"/>
    <w:rPr>
      <w:sz w:val="20"/>
      <w:szCs w:val="20"/>
      <w:lang w:val="x-none"/>
    </w:rPr>
  </w:style>
  <w:style w:type="character" w:customStyle="1" w:styleId="CommentTextChar">
    <w:name w:val="Comment Text Char"/>
    <w:link w:val="CommentText"/>
    <w:uiPriority w:val="99"/>
    <w:semiHidden/>
    <w:rsid w:val="001264FE"/>
    <w:rPr>
      <w:lang w:eastAsia="en-US"/>
    </w:rPr>
  </w:style>
  <w:style w:type="paragraph" w:styleId="CommentSubject">
    <w:name w:val="annotation subject"/>
    <w:basedOn w:val="CommentText"/>
    <w:next w:val="CommentText"/>
    <w:link w:val="CommentSubjectChar"/>
    <w:uiPriority w:val="99"/>
    <w:semiHidden/>
    <w:unhideWhenUsed/>
    <w:rsid w:val="001264FE"/>
    <w:rPr>
      <w:b/>
      <w:bCs/>
    </w:rPr>
  </w:style>
  <w:style w:type="character" w:customStyle="1" w:styleId="CommentSubjectChar">
    <w:name w:val="Comment Subject Char"/>
    <w:link w:val="CommentSubject"/>
    <w:uiPriority w:val="99"/>
    <w:semiHidden/>
    <w:rsid w:val="001264FE"/>
    <w:rPr>
      <w:b/>
      <w:bCs/>
      <w:lang w:eastAsia="en-US"/>
    </w:rPr>
  </w:style>
  <w:style w:type="paragraph" w:styleId="BalloonText">
    <w:name w:val="Balloon Text"/>
    <w:basedOn w:val="Normal"/>
    <w:link w:val="BalloonTextChar"/>
    <w:uiPriority w:val="99"/>
    <w:semiHidden/>
    <w:unhideWhenUsed/>
    <w:rsid w:val="001264FE"/>
    <w:pPr>
      <w:spacing w:after="0" w:line="240" w:lineRule="auto"/>
    </w:pPr>
    <w:rPr>
      <w:rFonts w:ascii="Segoe UI" w:hAnsi="Segoe UI"/>
      <w:sz w:val="18"/>
      <w:szCs w:val="18"/>
      <w:lang w:val="x-none"/>
    </w:rPr>
  </w:style>
  <w:style w:type="character" w:customStyle="1" w:styleId="BalloonTextChar">
    <w:name w:val="Balloon Text Char"/>
    <w:link w:val="BalloonText"/>
    <w:uiPriority w:val="99"/>
    <w:semiHidden/>
    <w:rsid w:val="001264FE"/>
    <w:rPr>
      <w:rFonts w:ascii="Segoe UI" w:hAnsi="Segoe UI" w:cs="Segoe UI"/>
      <w:sz w:val="18"/>
      <w:szCs w:val="18"/>
      <w:lang w:eastAsia="en-US"/>
    </w:rPr>
  </w:style>
  <w:style w:type="paragraph" w:styleId="ListParagraph">
    <w:name w:val="List Paragraph"/>
    <w:basedOn w:val="Normal"/>
    <w:uiPriority w:val="34"/>
    <w:qFormat/>
    <w:rsid w:val="00F72939"/>
    <w:pPr>
      <w:spacing w:after="200" w:line="276" w:lineRule="auto"/>
      <w:ind w:left="720"/>
      <w:contextualSpacing/>
    </w:pPr>
  </w:style>
  <w:style w:type="paragraph" w:styleId="NormalWeb">
    <w:name w:val="Normal (Web)"/>
    <w:basedOn w:val="Normal"/>
    <w:uiPriority w:val="99"/>
    <w:semiHidden/>
    <w:unhideWhenUsed/>
    <w:rsid w:val="00427BDA"/>
    <w:rPr>
      <w:rFonts w:ascii="Times New Roman" w:hAnsi="Times New Roman"/>
      <w:sz w:val="24"/>
      <w:szCs w:val="24"/>
    </w:rPr>
  </w:style>
  <w:style w:type="paragraph" w:styleId="Header">
    <w:name w:val="header"/>
    <w:basedOn w:val="Normal"/>
    <w:link w:val="HeaderChar"/>
    <w:uiPriority w:val="99"/>
    <w:unhideWhenUsed/>
    <w:rsid w:val="00E36C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E36CCB"/>
    <w:rPr>
      <w:sz w:val="22"/>
      <w:szCs w:val="22"/>
      <w:lang w:eastAsia="en-US"/>
    </w:rPr>
  </w:style>
  <w:style w:type="paragraph" w:styleId="Footer">
    <w:name w:val="footer"/>
    <w:basedOn w:val="Normal"/>
    <w:link w:val="FooterChar"/>
    <w:uiPriority w:val="99"/>
    <w:unhideWhenUsed/>
    <w:rsid w:val="00E36C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E36CCB"/>
    <w:rPr>
      <w:sz w:val="22"/>
      <w:szCs w:val="22"/>
      <w:lang w:eastAsia="en-US"/>
    </w:rPr>
  </w:style>
  <w:style w:type="character" w:styleId="FollowedHyperlink">
    <w:name w:val="FollowedHyperlink"/>
    <w:basedOn w:val="DefaultParagraphFont"/>
    <w:uiPriority w:val="99"/>
    <w:semiHidden/>
    <w:unhideWhenUsed/>
    <w:rsid w:val="00D867E4"/>
    <w:rPr>
      <w:color w:val="954F72" w:themeColor="followedHyperlink"/>
      <w:u w:val="single"/>
    </w:rPr>
  </w:style>
  <w:style w:type="character" w:styleId="Emphasis">
    <w:name w:val="Emphasis"/>
    <w:basedOn w:val="DefaultParagraphFont"/>
    <w:uiPriority w:val="20"/>
    <w:qFormat/>
    <w:rsid w:val="00B970F7"/>
    <w:rPr>
      <w:i/>
      <w:iCs/>
    </w:rPr>
  </w:style>
  <w:style w:type="paragraph" w:styleId="NoSpacing">
    <w:name w:val="No Spacing"/>
    <w:uiPriority w:val="1"/>
    <w:qFormat/>
    <w:rsid w:val="005E55AE"/>
    <w:pPr>
      <w:spacing w:line="360" w:lineRule="auto"/>
    </w:pPr>
    <w:rPr>
      <w:b/>
      <w:color w:val="008080"/>
      <w:sz w:val="24"/>
      <w:szCs w:val="22"/>
      <w:lang w:eastAsia="en-US"/>
    </w:rPr>
  </w:style>
  <w:style w:type="table" w:styleId="TableGrid">
    <w:name w:val="Table Grid"/>
    <w:basedOn w:val="TableNormal"/>
    <w:uiPriority w:val="39"/>
    <w:rsid w:val="005D78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D78D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i-provider">
    <w:name w:val="ui-provider"/>
    <w:basedOn w:val="DefaultParagraphFont"/>
    <w:rsid w:val="00652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422523">
      <w:bodyDiv w:val="1"/>
      <w:marLeft w:val="0"/>
      <w:marRight w:val="0"/>
      <w:marTop w:val="0"/>
      <w:marBottom w:val="0"/>
      <w:divBdr>
        <w:top w:val="none" w:sz="0" w:space="0" w:color="auto"/>
        <w:left w:val="none" w:sz="0" w:space="0" w:color="auto"/>
        <w:bottom w:val="none" w:sz="0" w:space="0" w:color="auto"/>
        <w:right w:val="none" w:sz="0" w:space="0" w:color="auto"/>
      </w:divBdr>
      <w:divsChild>
        <w:div w:id="1151941303">
          <w:marLeft w:val="0"/>
          <w:marRight w:val="0"/>
          <w:marTop w:val="0"/>
          <w:marBottom w:val="0"/>
          <w:divBdr>
            <w:top w:val="none" w:sz="0" w:space="0" w:color="auto"/>
            <w:left w:val="none" w:sz="0" w:space="0" w:color="auto"/>
            <w:bottom w:val="none" w:sz="0" w:space="0" w:color="auto"/>
            <w:right w:val="none" w:sz="0" w:space="0" w:color="auto"/>
          </w:divBdr>
        </w:div>
        <w:div w:id="518473164">
          <w:marLeft w:val="0"/>
          <w:marRight w:val="0"/>
          <w:marTop w:val="0"/>
          <w:marBottom w:val="0"/>
          <w:divBdr>
            <w:top w:val="none" w:sz="0" w:space="0" w:color="auto"/>
            <w:left w:val="none" w:sz="0" w:space="0" w:color="auto"/>
            <w:bottom w:val="none" w:sz="0" w:space="0" w:color="auto"/>
            <w:right w:val="none" w:sz="0" w:space="0" w:color="auto"/>
          </w:divBdr>
        </w:div>
        <w:div w:id="1362901520">
          <w:marLeft w:val="0"/>
          <w:marRight w:val="0"/>
          <w:marTop w:val="0"/>
          <w:marBottom w:val="0"/>
          <w:divBdr>
            <w:top w:val="none" w:sz="0" w:space="0" w:color="auto"/>
            <w:left w:val="none" w:sz="0" w:space="0" w:color="auto"/>
            <w:bottom w:val="none" w:sz="0" w:space="0" w:color="auto"/>
            <w:right w:val="none" w:sz="0" w:space="0" w:color="auto"/>
          </w:divBdr>
        </w:div>
        <w:div w:id="2008897662">
          <w:marLeft w:val="0"/>
          <w:marRight w:val="0"/>
          <w:marTop w:val="0"/>
          <w:marBottom w:val="0"/>
          <w:divBdr>
            <w:top w:val="none" w:sz="0" w:space="0" w:color="auto"/>
            <w:left w:val="none" w:sz="0" w:space="0" w:color="auto"/>
            <w:bottom w:val="none" w:sz="0" w:space="0" w:color="auto"/>
            <w:right w:val="none" w:sz="0" w:space="0" w:color="auto"/>
          </w:divBdr>
          <w:divsChild>
            <w:div w:id="222252543">
              <w:marLeft w:val="0"/>
              <w:marRight w:val="0"/>
              <w:marTop w:val="0"/>
              <w:marBottom w:val="0"/>
              <w:divBdr>
                <w:top w:val="none" w:sz="0" w:space="0" w:color="auto"/>
                <w:left w:val="none" w:sz="0" w:space="0" w:color="auto"/>
                <w:bottom w:val="none" w:sz="0" w:space="0" w:color="auto"/>
                <w:right w:val="none" w:sz="0" w:space="0" w:color="auto"/>
              </w:divBdr>
            </w:div>
            <w:div w:id="1614365089">
              <w:marLeft w:val="0"/>
              <w:marRight w:val="0"/>
              <w:marTop w:val="0"/>
              <w:marBottom w:val="0"/>
              <w:divBdr>
                <w:top w:val="none" w:sz="0" w:space="0" w:color="auto"/>
                <w:left w:val="none" w:sz="0" w:space="0" w:color="auto"/>
                <w:bottom w:val="none" w:sz="0" w:space="0" w:color="auto"/>
                <w:right w:val="none" w:sz="0" w:space="0" w:color="auto"/>
              </w:divBdr>
            </w:div>
            <w:div w:id="124861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doi.org/10.1177/1757913912466951" TargetMode="External"/><Relationship Id="rId26" Type="http://schemas.openxmlformats.org/officeDocument/2006/relationships/hyperlink" Target="https://doi.org/10.1093/her/cyt074" TargetMode="External"/><Relationship Id="rId39" Type="http://schemas.openxmlformats.org/officeDocument/2006/relationships/hyperlink" Target="https://doi.org/10.1016/j.healthplace.2017.08.005" TargetMode="External"/><Relationship Id="rId21" Type="http://schemas.openxmlformats.org/officeDocument/2006/relationships/hyperlink" Target="https://doi.org/10.1080/17533015.2016.1206948" TargetMode="External"/><Relationship Id="rId34" Type="http://schemas.openxmlformats.org/officeDocument/2006/relationships/hyperlink" Target="https://doi.org/10.1177/0733464820967195" TargetMode="External"/><Relationship Id="rId42" Type="http://schemas.openxmlformats.org/officeDocument/2006/relationships/hyperlink" Target="https://doi.org/10.1177/1466424006064302"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oi.org/10.1177/1757913912466946" TargetMode="External"/><Relationship Id="rId29" Type="http://schemas.openxmlformats.org/officeDocument/2006/relationships/hyperlink" Target="https://doi.org/10.1177/1757913918772602" TargetMode="External"/><Relationship Id="rId11" Type="http://schemas.openxmlformats.org/officeDocument/2006/relationships/image" Target="media/image1.jpeg"/><Relationship Id="rId24" Type="http://schemas.openxmlformats.org/officeDocument/2006/relationships/hyperlink" Target="https://doi.org/10.1108/JPMH-09-2018-0065" TargetMode="External"/><Relationship Id="rId32" Type="http://schemas.openxmlformats.org/officeDocument/2006/relationships/hyperlink" Target="https://doi.org/10.1177/1524839917735076" TargetMode="External"/><Relationship Id="rId37" Type="http://schemas.openxmlformats.org/officeDocument/2006/relationships/hyperlink" Target="https://doi.org/10.1071/HE15096" TargetMode="External"/><Relationship Id="rId40" Type="http://schemas.openxmlformats.org/officeDocument/2006/relationships/hyperlink" Target="https://doi.org/10.1371/journal.pone.0246078" TargetMode="External"/><Relationship Id="rId45" Type="http://schemas.openxmlformats.org/officeDocument/2006/relationships/hyperlink" Target="https://doi.org/10.3384/ijal.1652-8670.14238" TargetMode="External"/><Relationship Id="rId5" Type="http://schemas.openxmlformats.org/officeDocument/2006/relationships/numbering" Target="numbering.xml"/><Relationship Id="rId15" Type="http://schemas.openxmlformats.org/officeDocument/2006/relationships/hyperlink" Target="https://doi.org/10.1177/0017896917753454" TargetMode="External"/><Relationship Id="rId23" Type="http://schemas.openxmlformats.org/officeDocument/2006/relationships/hyperlink" Target="https://doi.org/10.1136/bjsm.2010.072223" TargetMode="External"/><Relationship Id="rId28" Type="http://schemas.openxmlformats.org/officeDocument/2006/relationships/hyperlink" Target="https://doi.org/10.1016/j.envsci.2020.05.016" TargetMode="External"/><Relationship Id="rId36" Type="http://schemas.openxmlformats.org/officeDocument/2006/relationships/hyperlink" Target="https://doi.org/10.1016/j.sbspro.2015.04.476"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oi.org/10.1177/1757913912442269" TargetMode="External"/><Relationship Id="rId31" Type="http://schemas.openxmlformats.org/officeDocument/2006/relationships/hyperlink" Target="http://doi.org/10.1016/S0140-6736(06)69917-0" TargetMode="External"/><Relationship Id="rId44" Type="http://schemas.openxmlformats.org/officeDocument/2006/relationships/hyperlink" Target="https://apps.who.int/iris/bitstream/handle/10665/260172/WHO-NMH-PND-18.2-eng.pdf;jsessionid=6E08A3CE367496C323C66CEE3E1EAC45?sequence=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093/heapro/das042" TargetMode="External"/><Relationship Id="rId22" Type="http://schemas.openxmlformats.org/officeDocument/2006/relationships/hyperlink" Target="https://doi.org/10.1080/17533015.2011.561357" TargetMode="External"/><Relationship Id="rId27" Type="http://schemas.openxmlformats.org/officeDocument/2006/relationships/hyperlink" Target="https://doi.org/10.1177/1757913918772602" TargetMode="External"/><Relationship Id="rId30" Type="http://schemas.openxmlformats.org/officeDocument/2006/relationships/hyperlink" Target="https://doi.org/10.1080/02614367.2020.1713195" TargetMode="External"/><Relationship Id="rId35" Type="http://schemas.openxmlformats.org/officeDocument/2006/relationships/hyperlink" Target="https://doi.org/10.3109/11038128.2012.725182" TargetMode="External"/><Relationship Id="rId43" Type="http://schemas.openxmlformats.org/officeDocument/2006/relationships/hyperlink" Target="https://www.who.int/health-topics/health-promotion" TargetMode="External"/><Relationship Id="rId48"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doi.org/10.1136/bmjgh-2019-001987" TargetMode="External"/><Relationship Id="rId25" Type="http://schemas.openxmlformats.org/officeDocument/2006/relationships/hyperlink" Target="https://doi.org/10.1177/1757913918772602" TargetMode="External"/><Relationship Id="rId33" Type="http://schemas.openxmlformats.org/officeDocument/2006/relationships/hyperlink" Target="https://doi.org/10.1002/oti.1438" TargetMode="External"/><Relationship Id="rId38" Type="http://schemas.openxmlformats.org/officeDocument/2006/relationships/hyperlink" Target="https://doi.org/10.1371/journal.pone.0243284" TargetMode="External"/><Relationship Id="rId46" Type="http://schemas.openxmlformats.org/officeDocument/2006/relationships/header" Target="header1.xml"/><Relationship Id="rId20" Type="http://schemas.openxmlformats.org/officeDocument/2006/relationships/hyperlink" Target="https://doi.org/10.1080/17454832.2017.1378241" TargetMode="External"/><Relationship Id="rId41" Type="http://schemas.openxmlformats.org/officeDocument/2006/relationships/hyperlink" Target="https://www.uarts.edu/academics/undergraduate-programs"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nc-sa/4.0/deed.en" TargetMode="External"/><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FDACD4CC9AAD848804041F07CB26F9E" ma:contentTypeVersion="4" ma:contentTypeDescription="Create a new document." ma:contentTypeScope="" ma:versionID="f69242356226a27698207e26789c0251">
  <xsd:schema xmlns:xsd="http://www.w3.org/2001/XMLSchema" xmlns:xs="http://www.w3.org/2001/XMLSchema" xmlns:p="http://schemas.microsoft.com/office/2006/metadata/properties" xmlns:ns2="79d1e0f6-945a-4c5f-bfd6-58accad39fdd" targetNamespace="http://schemas.microsoft.com/office/2006/metadata/properties" ma:root="true" ma:fieldsID="4cc8335dfe3ec40465ad64bcc02e39bf" ns2:_="">
    <xsd:import namespace="79d1e0f6-945a-4c5f-bfd6-58accad39f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d1e0f6-945a-4c5f-bfd6-58accad39f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F514D4-12E2-4EED-BD78-5DBE998196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DBBCE9-3059-4D06-A9F3-BA274CACFF33}">
  <ds:schemaRefs>
    <ds:schemaRef ds:uri="http://schemas.openxmlformats.org/officeDocument/2006/bibliography"/>
  </ds:schemaRefs>
</ds:datastoreItem>
</file>

<file path=customXml/itemProps3.xml><?xml version="1.0" encoding="utf-8"?>
<ds:datastoreItem xmlns:ds="http://schemas.openxmlformats.org/officeDocument/2006/customXml" ds:itemID="{9AC57645-80A7-46BC-AE07-6C752D069A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d1e0f6-945a-4c5f-bfd6-58accad39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47FF6E-1114-4E7D-878C-6B9D5BC47C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1541</Words>
  <Characters>12489</Characters>
  <Application>Microsoft Office Word</Application>
  <DocSecurity>4</DocSecurity>
  <Lines>104</Lines>
  <Paragraphs>28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UNIVERSITY WEST ATTICA</Company>
  <LinksUpToDate>false</LinksUpToDate>
  <CharactersWithSpaces>14002</CharactersWithSpaces>
  <SharedDoc>false</SharedDoc>
  <HLinks>
    <vt:vector size="42" baseType="variant">
      <vt:variant>
        <vt:i4>8323121</vt:i4>
      </vt:variant>
      <vt:variant>
        <vt:i4>18</vt:i4>
      </vt:variant>
      <vt:variant>
        <vt:i4>0</vt:i4>
      </vt:variant>
      <vt:variant>
        <vt:i4>5</vt:i4>
      </vt:variant>
      <vt:variant>
        <vt:lpwstr>http://apps.who.int/iris/bitstream/handle/10665/260172/WHO-NMH-PND-18.2-eng.pdf;jsessionid=6E08A3CE367496C323C66CEE3E1EAC45?sequence=1</vt:lpwstr>
      </vt:variant>
      <vt:variant>
        <vt:lpwstr/>
      </vt:variant>
      <vt:variant>
        <vt:i4>3670058</vt:i4>
      </vt:variant>
      <vt:variant>
        <vt:i4>15</vt:i4>
      </vt:variant>
      <vt:variant>
        <vt:i4>0</vt:i4>
      </vt:variant>
      <vt:variant>
        <vt:i4>5</vt:i4>
      </vt:variant>
      <vt:variant>
        <vt:lpwstr>https://www.uarts.edu/academics/undergraduate-programs</vt:lpwstr>
      </vt:variant>
      <vt:variant>
        <vt:lpwstr/>
      </vt:variant>
      <vt:variant>
        <vt:i4>4194374</vt:i4>
      </vt:variant>
      <vt:variant>
        <vt:i4>12</vt:i4>
      </vt:variant>
      <vt:variant>
        <vt:i4>0</vt:i4>
      </vt:variant>
      <vt:variant>
        <vt:i4>5</vt:i4>
      </vt:variant>
      <vt:variant>
        <vt:lpwstr>https://doi.org/10.1371/journal.pone.0246078</vt:lpwstr>
      </vt:variant>
      <vt:variant>
        <vt:lpwstr/>
      </vt:variant>
      <vt:variant>
        <vt:i4>5570586</vt:i4>
      </vt:variant>
      <vt:variant>
        <vt:i4>9</vt:i4>
      </vt:variant>
      <vt:variant>
        <vt:i4>0</vt:i4>
      </vt:variant>
      <vt:variant>
        <vt:i4>5</vt:i4>
      </vt:variant>
      <vt:variant>
        <vt:lpwstr>https://doi.org/10.1016/j.healthplace.2017.08.005</vt:lpwstr>
      </vt:variant>
      <vt:variant>
        <vt:lpwstr/>
      </vt:variant>
      <vt:variant>
        <vt:i4>5570631</vt:i4>
      </vt:variant>
      <vt:variant>
        <vt:i4>6</vt:i4>
      </vt:variant>
      <vt:variant>
        <vt:i4>0</vt:i4>
      </vt:variant>
      <vt:variant>
        <vt:i4>5</vt:i4>
      </vt:variant>
      <vt:variant>
        <vt:lpwstr>https://doi.org/10.1016/j.envsci.2020.05.016</vt:lpwstr>
      </vt:variant>
      <vt:variant>
        <vt:lpwstr/>
      </vt:variant>
      <vt:variant>
        <vt:i4>2949219</vt:i4>
      </vt:variant>
      <vt:variant>
        <vt:i4>3</vt:i4>
      </vt:variant>
      <vt:variant>
        <vt:i4>0</vt:i4>
      </vt:variant>
      <vt:variant>
        <vt:i4>5</vt:i4>
      </vt:variant>
      <vt:variant>
        <vt:lpwstr>https://doi.org/10.1093/her/cyt074</vt:lpwstr>
      </vt:variant>
      <vt:variant>
        <vt:lpwstr/>
      </vt:variant>
      <vt:variant>
        <vt:i4>262209</vt:i4>
      </vt:variant>
      <vt:variant>
        <vt:i4>0</vt:i4>
      </vt:variant>
      <vt:variant>
        <vt:i4>0</vt:i4>
      </vt:variant>
      <vt:variant>
        <vt:i4>5</vt:i4>
      </vt:variant>
      <vt:variant>
        <vt:lpwstr>https://doi.org/10.1080/11038128.2020.1775884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UNIWA</dc:creator>
  <cp:keywords/>
  <cp:lastModifiedBy>Rosenlöf Anna-Mari</cp:lastModifiedBy>
  <cp:revision>2</cp:revision>
  <cp:lastPrinted>2023-09-01T10:23:00Z</cp:lastPrinted>
  <dcterms:created xsi:type="dcterms:W3CDTF">2023-09-04T07:05:00Z</dcterms:created>
  <dcterms:modified xsi:type="dcterms:W3CDTF">2023-09-04T07:05:00Z</dcterms:modified>
</cp:coreProperties>
</file>